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equired-capstone-component-20.1-week-9"/>
    <w:p>
      <w:pPr>
        <w:pStyle w:val="Heading1"/>
      </w:pPr>
      <w:r>
        <w:t xml:space="preserve">Required Capstone Component 20.1 — Week 9</w:t>
      </w:r>
    </w:p>
    <w:bookmarkStart w:id="20" w:name="X44626cf9783753115e395a081c9b58e0b378747"/>
    <w:p>
      <w:pPr>
        <w:pStyle w:val="Heading2"/>
      </w:pPr>
      <w:r>
        <w:t xml:space="preserve">Refining Strategies for the Black-Box Optimisation Challenge</w:t>
      </w:r>
    </w:p>
    <w:p>
      <w:pPr>
        <w:pStyle w:val="FirstParagraph"/>
      </w:pPr>
      <w:r>
        <w:rPr>
          <w:bCs/>
          <w:b/>
        </w:rPr>
        <w:t xml:space="preserve">Module:</w:t>
      </w:r>
      <w:r>
        <w:t xml:space="preserve"> </w:t>
      </w:r>
      <w:r>
        <w:t xml:space="preserve">20 — Scaling Large Language Models</w:t>
      </w:r>
      <w:r>
        <w:t xml:space="preserve"> </w:t>
      </w:r>
      <w:r>
        <w:rPr>
          <w:bCs/>
          <w:b/>
        </w:rPr>
        <w:t xml:space="preserve">Submitted:</w:t>
      </w:r>
      <w:r>
        <w:t xml:space="preserve"> </w:t>
      </w:r>
      <w:r>
        <w:t xml:space="preserve">28/02/2026</w:t>
      </w:r>
      <w:r>
        <w:t xml:space="preserve"> </w:t>
      </w:r>
      <w:r>
        <w:rPr>
          <w:bCs/>
          <w:b/>
        </w:rPr>
        <w:t xml:space="preserve">Cohort:</w:t>
      </w:r>
      <w:r>
        <w:t xml:space="preserve"> </w:t>
      </w:r>
      <w:r>
        <w:t xml:space="preserve">IMP-PCMLAI-25-08</w:t>
      </w:r>
    </w:p>
    <w:p>
      <w:r>
        <w:pict>
          <v:rect style="width:0;height:1.5pt" o:hralign="center" o:hrstd="t" o:hr="t"/>
        </w:pict>
      </w:r>
    </w:p>
    <w:bookmarkEnd w:id="20"/>
    <w:bookmarkStart w:id="21" w:name="part-1-queries-submitted"/>
    <w:p>
      <w:pPr>
        <w:pStyle w:val="Heading2"/>
      </w:pPr>
      <w:r>
        <w:t xml:space="preserve">Part 1: Queries Submitted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89"/>
        <w:gridCol w:w="1667"/>
        <w:gridCol w:w="1389"/>
        <w:gridCol w:w="2362"/>
        <w:gridCol w:w="1111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Query Submitted</w:t>
            </w:r>
          </w:p>
        </w:tc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Exploration (κ=1.6)</w:t>
            </w:r>
          </w:p>
        </w:tc>
        <w:tc>
          <w:p>
            <w:pPr>
              <w:pStyle w:val="Compact"/>
              <w:jc w:val="left"/>
            </w:pPr>
            <w:r>
              <w:t xml:space="preserve">0.830399-0.767887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(κ=0.6)</w:t>
            </w:r>
          </w:p>
        </w:tc>
        <w:tc>
          <w:p>
            <w:pPr>
              <w:pStyle w:val="Compact"/>
              <w:jc w:val="left"/>
            </w:pPr>
            <w:r>
              <w:t xml:space="preserve">0.755635-0.920896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p>
            <w:pPr>
              <w:pStyle w:val="Compact"/>
              <w:jc w:val="left"/>
            </w:pPr>
            <w:r>
              <w:t xml:space="preserve">Balanced GP-UCB (κ=0.6)</w:t>
            </w:r>
          </w:p>
        </w:tc>
        <w:tc>
          <w:p>
            <w:pPr>
              <w:pStyle w:val="Compact"/>
              <w:jc w:val="left"/>
            </w:pPr>
            <w:r>
              <w:t xml:space="preserve">0.219671-0.254999-0.424515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Exploitation (κ=0.35)</w:t>
            </w:r>
          </w:p>
        </w:tc>
        <w:tc>
          <w:p>
            <w:pPr>
              <w:pStyle w:val="Compact"/>
              <w:jc w:val="left"/>
            </w:pPr>
            <w:r>
              <w:t xml:space="preserve">0.578500-0.416692-0.423202-0.276134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(κ=0.08, r=0.012)</w:t>
            </w:r>
          </w:p>
        </w:tc>
        <w:tc>
          <w:p>
            <w:pPr>
              <w:pStyle w:val="Compact"/>
              <w:jc w:val="left"/>
            </w:pPr>
            <w:r>
              <w:t xml:space="preserve">0.983402-0.986019-0.955749-0.987486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p>
            <w:pPr>
              <w:pStyle w:val="Compact"/>
              <w:jc w:val="left"/>
            </w:pPr>
            <w:r>
              <w:t xml:space="preserve">Balanced (κ=1.0)</w:t>
            </w:r>
          </w:p>
        </w:tc>
        <w:tc>
          <w:p>
            <w:pPr>
              <w:pStyle w:val="Compact"/>
              <w:jc w:val="left"/>
            </w:pPr>
            <w:r>
              <w:t xml:space="preserve">0.701731-0.114762-0.739213-0.692731-0.044651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p>
            <w:pPr>
              <w:pStyle w:val="Compact"/>
              <w:jc w:val="left"/>
            </w:pPr>
            <w:r>
              <w:t xml:space="preserve">6D</w:t>
            </w:r>
          </w:p>
        </w:tc>
        <w:tc>
          <w:p>
            <w:pPr>
              <w:pStyle w:val="Compact"/>
              <w:jc w:val="left"/>
            </w:pPr>
            <w:r>
              <w:t xml:space="preserve">GP gradient ascent (κ=2.0)</w:t>
            </w:r>
          </w:p>
        </w:tc>
        <w:tc>
          <w:p>
            <w:pPr>
              <w:pStyle w:val="Compact"/>
              <w:jc w:val="left"/>
            </w:pPr>
            <w:r>
              <w:t xml:space="preserve">0.084858-0.545780-0.248800-0.266367-0.376177-0.771856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p>
            <w:pPr>
              <w:pStyle w:val="Compact"/>
              <w:jc w:val="left"/>
            </w:pPr>
            <w:r>
              <w:t xml:space="preserve">8D</w:t>
            </w:r>
          </w:p>
        </w:tc>
        <w:tc>
          <w:p>
            <w:pPr>
              <w:pStyle w:val="Compact"/>
              <w:jc w:val="left"/>
            </w:pPr>
            <w:r>
              <w:t xml:space="preserve">Tight trust-region (κ=0.08, r=0.045)</w:t>
            </w:r>
          </w:p>
        </w:tc>
        <w:tc>
          <w:p>
            <w:pPr>
              <w:pStyle w:val="Compact"/>
              <w:jc w:val="left"/>
            </w:pPr>
            <w:r>
              <w:t xml:space="preserve">0.130996-0.214270-0.023203-0.201722-0.278679-0.687286-0.559759-0.944046</w:t>
            </w:r>
          </w:p>
        </w:tc>
        <w:tc>
          <w:p>
            <w:pPr>
              <w:pStyle w:val="Compact"/>
              <w:jc w:val="left"/>
            </w:pPr>
            <w:r>
              <w:t xml:space="preserve">TBC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X0714cad7ad6039addc05ab3944faa1123ae0b15"/>
    <w:p>
      <w:pPr>
        <w:pStyle w:val="Heading2"/>
      </w:pPr>
      <w:r>
        <w:t xml:space="preserve">Part 2: Reflection on Strategy — Ninth Iteration (18 Data Points)</w:t>
      </w:r>
    </w:p>
    <w:p>
      <w:r>
        <w:pict>
          <v:rect style="width:0;height:1.5pt" o:hralign="center" o:hrstd="t" o:hr="t"/>
        </w:pict>
      </w:r>
    </w:p>
    <w:bookmarkStart w:id="22" w:name="X07bf0e6e6611622f58cd2666ec342fad7b6cdf5"/>
    <w:p>
      <w:pPr>
        <w:pStyle w:val="Heading3"/>
      </w:pPr>
      <w:r>
        <w:t xml:space="preserve">1. How Scaling Laws Influence Current Query Choices</w:t>
      </w:r>
    </w:p>
    <w:p>
      <w:pPr>
        <w:pStyle w:val="FirstParagraph"/>
      </w:pPr>
      <w:r>
        <w:t xml:space="preserve">Scaling laws predict that performance improves predictably with increased compute, data, and model capacity — but with diminishing marginal returns. With 18 data points now informing my search, I observe this pattern clearly across the eight functions.</w:t>
      </w:r>
    </w:p>
    <w:p>
      <w:pPr>
        <w:pStyle w:val="BodyText"/>
      </w:pPr>
      <w:r>
        <w:rPr>
          <w:bCs/>
          <w:b/>
        </w:rPr>
        <w:t xml:space="preserve">Evidence of diminishing returns:</w:t>
      </w:r>
    </w:p>
    <w:p>
      <w:pPr>
        <w:numPr>
          <w:ilvl w:val="0"/>
          <w:numId w:val="1001"/>
        </w:numPr>
        <w:pStyle w:val="Compact"/>
      </w:pPr>
      <w:r>
        <w:t xml:space="preserve">Functions where I’ve identified strong optima (F5, F2) show plateauing improvements — small input perturbations yield minimal output changes</w:t>
      </w:r>
    </w:p>
    <w:p>
      <w:pPr>
        <w:numPr>
          <w:ilvl w:val="0"/>
          <w:numId w:val="1001"/>
        </w:numPr>
        <w:pStyle w:val="Compact"/>
      </w:pPr>
      <w:r>
        <w:t xml:space="preserve">The surrogate model’s uncertainty has collapsed in well-explored regions, reducing the exploration bonus from UCB acquisition</w:t>
      </w:r>
    </w:p>
    <w:p>
      <w:pPr>
        <w:numPr>
          <w:ilvl w:val="0"/>
          <w:numId w:val="1001"/>
        </w:numPr>
        <w:pStyle w:val="Compact"/>
      </w:pPr>
      <w:r>
        <w:t xml:space="preserve">Each additional query near known optima provides less informational value than early-round queries</w:t>
      </w:r>
    </w:p>
    <w:p>
      <w:pPr>
        <w:pStyle w:val="FirstParagraph"/>
      </w:pPr>
      <w:r>
        <w:rPr>
          <w:bCs/>
          <w:b/>
        </w:rPr>
        <w:t xml:space="preserve">Evidence of continued scaling potential:</w:t>
      </w:r>
    </w:p>
    <w:p>
      <w:pPr>
        <w:numPr>
          <w:ilvl w:val="0"/>
          <w:numId w:val="1002"/>
        </w:numPr>
        <w:pStyle w:val="Compact"/>
      </w:pPr>
      <w:r>
        <w:t xml:space="preserve">High-dimensional functions (F7, F8) remain severely undersampled — 18 points in 7–8 dimensions provides negligible coverage</w:t>
      </w:r>
    </w:p>
    <w:p>
      <w:pPr>
        <w:numPr>
          <w:ilvl w:val="0"/>
          <w:numId w:val="1002"/>
        </w:numPr>
        <w:pStyle w:val="Compact"/>
      </w:pPr>
      <w:r>
        <w:t xml:space="preserve">Some functions exhibit sharp, localised peaks that only become detectable with sufficient data density</w:t>
      </w:r>
    </w:p>
    <w:p>
      <w:pPr>
        <w:numPr>
          <w:ilvl w:val="0"/>
          <w:numId w:val="1002"/>
        </w:numPr>
        <w:pStyle w:val="Compact"/>
      </w:pPr>
      <w:r>
        <w:t xml:space="preserve">Functions with noise or non-stationarity benefit from additional observations to distinguish signal from artefact</w:t>
      </w:r>
    </w:p>
    <w:p>
      <w:pPr>
        <w:pStyle w:val="FirstParagraph"/>
      </w:pPr>
      <w:r>
        <w:rPr>
          <w:bCs/>
          <w:b/>
        </w:rPr>
        <w:t xml:space="preserve">Strategic implication:</w:t>
      </w:r>
      <w:r>
        <w:t xml:space="preserve"> </w:t>
      </w:r>
      <w:r>
        <w:t xml:space="preserve">I now differentiate between functions in</w:t>
      </w:r>
      <w:r>
        <w:t xml:space="preserve"> </w:t>
      </w:r>
      <w:r>
        <w:t xml:space="preserve">“</w:t>
      </w:r>
      <w:r>
        <w:t xml:space="preserve">exploitation mode</w:t>
      </w:r>
      <w:r>
        <w:t xml:space="preserve">”</w:t>
      </w:r>
      <w:r>
        <w:t xml:space="preserve"> </w:t>
      </w:r>
      <w:r>
        <w:t xml:space="preserve">(diminishing returns, focus on local refinement) versus</w:t>
      </w:r>
      <w:r>
        <w:t xml:space="preserve"> </w:t>
      </w:r>
      <w:r>
        <w:t xml:space="preserve">“</w:t>
      </w:r>
      <w:r>
        <w:t xml:space="preserve">exploration mode</w:t>
      </w:r>
      <w:r>
        <w:t xml:space="preserve">”</w:t>
      </w:r>
      <w:r>
        <w:t xml:space="preserve"> </w:t>
      </w:r>
      <w:r>
        <w:t xml:space="preserve">(still in early scaling phase, broader sampling justified).</w:t>
      </w:r>
    </w:p>
    <w:p>
      <w:r>
        <w:pict>
          <v:rect style="width:0;height:1.5pt" o:hralign="center" o:hrstd="t" o:hr="t"/>
        </w:pict>
      </w:r>
    </w:p>
    <w:bookmarkEnd w:id="22"/>
    <w:bookmarkStart w:id="23" w:name="Xc79840b741020d7735167a8b9048c8faacfd3e0"/>
    <w:p>
      <w:pPr>
        <w:pStyle w:val="Heading3"/>
      </w:pPr>
      <w:r>
        <w:t xml:space="preserve">2. Where Emergent Behaviours Might Alter Expectations</w:t>
      </w:r>
    </w:p>
    <w:p>
      <w:pPr>
        <w:pStyle w:val="FirstParagraph"/>
      </w:pPr>
      <w:r>
        <w:t xml:space="preserve">Emergent behaviours — sudden capability jumps that appear non-linearly — could manifest in several ways within the BBO context:</w:t>
      </w:r>
    </w:p>
    <w:p>
      <w:pPr>
        <w:pStyle w:val="BodyText"/>
      </w:pPr>
      <w:r>
        <w:rPr>
          <w:bCs/>
          <w:b/>
        </w:rPr>
        <w:t xml:space="preserve">Potential emergence scenarios: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Structural discovery:</w:t>
      </w:r>
      <w:r>
        <w:t xml:space="preserve"> </w:t>
      </w:r>
      <w:r>
        <w:t xml:space="preserve">The surrogate may suddenly</w:t>
      </w:r>
      <w:r>
        <w:t xml:space="preserve"> </w:t>
      </w:r>
      <w:r>
        <w:t xml:space="preserve">“</w:t>
      </w:r>
      <w:r>
        <w:t xml:space="preserve">recognise</w:t>
      </w:r>
      <w:r>
        <w:t xml:space="preserve">”</w:t>
      </w:r>
      <w:r>
        <w:t xml:space="preserve"> </w:t>
      </w:r>
      <w:r>
        <w:t xml:space="preserve">underlying patterns once sufficient data accumulates. F5’s dramatic spike suggests the function contains a narrow, high-value region that only became detectable after crossing a data threshold.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Dimensional interactions:</w:t>
      </w:r>
      <w:r>
        <w:t xml:space="preserve"> </w:t>
      </w:r>
      <w:r>
        <w:t xml:space="preserve">High-dimensional functions may exhibit non-linear interactions between variables that only emerge when exploration covers specific subspaces.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Phase transitions:</w:t>
      </w:r>
      <w:r>
        <w:t xml:space="preserve"> </w:t>
      </w:r>
      <w:r>
        <w:t xml:space="preserve">Some functions may behave fundamentally differently across regions — smooth in one area, discontinuous elsewhere.</w:t>
      </w:r>
    </w:p>
    <w:p>
      <w:pPr>
        <w:pStyle w:val="FirstParagraph"/>
      </w:pPr>
      <w:r>
        <w:rPr>
          <w:bCs/>
          <w:b/>
        </w:rPr>
        <w:t xml:space="preserve">Preparation strategies:</w:t>
      </w:r>
    </w:p>
    <w:p>
      <w:pPr>
        <w:numPr>
          <w:ilvl w:val="0"/>
          <w:numId w:val="1004"/>
        </w:numPr>
        <w:pStyle w:val="Compact"/>
      </w:pPr>
      <w:r>
        <w:t xml:space="preserve">Maintain deliberate exploration budget even in late rounds (20–30% of queries)</w:t>
      </w:r>
    </w:p>
    <w:p>
      <w:pPr>
        <w:numPr>
          <w:ilvl w:val="0"/>
          <w:numId w:val="1004"/>
        </w:numPr>
        <w:pStyle w:val="Compact"/>
      </w:pPr>
      <w:r>
        <w:t xml:space="preserve">Monitor for sudden variance changes or output sign reversals that signal regime transitions</w:t>
      </w:r>
    </w:p>
    <w:p>
      <w:pPr>
        <w:numPr>
          <w:ilvl w:val="0"/>
          <w:numId w:val="1004"/>
        </w:numPr>
        <w:pStyle w:val="Compact"/>
      </w:pPr>
      <w:r>
        <w:t xml:space="preserve">Use ensemble disagreement as an emergence indicator — high variance across surrogate models suggests unresolved structure</w:t>
      </w:r>
    </w:p>
    <w:p>
      <w:pPr>
        <w:numPr>
          <w:ilvl w:val="0"/>
          <w:numId w:val="1004"/>
        </w:numPr>
        <w:pStyle w:val="Compact"/>
      </w:pPr>
      <w:r>
        <w:t xml:space="preserve">Avoid fully committing to exploitation; preserve optionality for unexpected discoveries</w:t>
      </w:r>
    </w:p>
    <w:p>
      <w:r>
        <w:pict>
          <v:rect style="width:0;height:1.5pt" o:hralign="center" o:hrstd="t" o:hr="t"/>
        </w:pict>
      </w:r>
    </w:p>
    <w:bookmarkEnd w:id="23"/>
    <w:bookmarkStart w:id="24" w:name="Xbdfc050a624d2c3b79a53b23a49bfa7dc1e52c2"/>
    <w:p>
      <w:pPr>
        <w:pStyle w:val="Heading3"/>
      </w:pPr>
      <w:r>
        <w:t xml:space="preserve">3. Trade-offs Between Cost, Robustness, and Performance</w:t>
      </w:r>
    </w:p>
    <w:p>
      <w:pPr>
        <w:pStyle w:val="FirstParagraph"/>
      </w:pPr>
      <w:r>
        <w:t xml:space="preserve">With limited queries remaining, trade-off management dominates strategy: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Cost considerations:</w:t>
      </w:r>
      <w:r>
        <w:t xml:space="preserve"> </w:t>
      </w:r>
      <w:r>
        <w:t xml:space="preserve">Each query is irreplaceable — cannot afford speculative exploration without justification. Computational overhead for surrogate training scales with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Robustness concerns:</w:t>
      </w:r>
      <w:r>
        <w:t xml:space="preserve"> </w:t>
      </w:r>
      <w:r>
        <w:t xml:space="preserve">Overconfident surrogates may hallucinate optima in unexplored regions. Narrow exploitation risks missing global optima if current best is actually local.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 pressures:</w:t>
      </w:r>
      <w:r>
        <w:t xml:space="preserve"> </w:t>
      </w:r>
      <w:r>
        <w:t xml:space="preserve">Final rankings depend on best discovered values, not exploration breadth. Diminishing returns favour exploitation near proven high-value regions.</w:t>
      </w:r>
    </w:p>
    <w:p>
      <w:pPr>
        <w:pStyle w:val="FirstParagraph"/>
      </w:pPr>
      <w:r>
        <w:rPr>
          <w:bCs/>
          <w:b/>
        </w:rPr>
        <w:t xml:space="preserve">Current balance: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Function group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Consistent improvement (F5, F4)</w:t>
            </w:r>
          </w:p>
        </w:tc>
        <w:tc>
          <w:p>
            <w:pPr>
              <w:pStyle w:val="Compact"/>
              <w:jc w:val="left"/>
            </w:pPr>
            <w:r>
              <w:t xml:space="preserve">Aggressive exploitation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Volatile histories (F2, F7)</w:t>
            </w:r>
          </w:p>
        </w:tc>
        <w:tc>
          <w:p>
            <w:pPr>
              <w:pStyle w:val="Compact"/>
              <w:jc w:val="left"/>
            </w:pPr>
            <w:r>
              <w:t xml:space="preserve">Cautious refinement with local probes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Minimal progress (F1, F3)</w:t>
            </w:r>
          </w:p>
        </w:tc>
        <w:tc>
          <w:p>
            <w:pPr>
              <w:pStyle w:val="Compact"/>
              <w:jc w:val="left"/>
            </w:pPr>
            <w:r>
              <w:t xml:space="preserve">Targeted hypothesis-driven exploration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High-dimensional (F8)</w:t>
            </w:r>
          </w:p>
        </w:tc>
        <w:tc>
          <w:p>
            <w:pPr>
              <w:pStyle w:val="Compact"/>
              <w:jc w:val="left"/>
            </w:pPr>
            <w:r>
              <w:t xml:space="preserve">Broader sampling given inherent sparsity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6c13e18bb86a02a442086cbbcc1e07c88a4999a"/>
    <w:p>
      <w:pPr>
        <w:pStyle w:val="Heading3"/>
      </w:pPr>
      <w:r>
        <w:t xml:space="preserve">4. Balancing Predictable Optimisation with Emergent Risk</w:t>
      </w:r>
    </w:p>
    <w:p>
      <w:pPr>
        <w:pStyle w:val="FirstParagraph"/>
      </w:pPr>
      <w:r>
        <w:t xml:space="preserve">The core tension: predictable optimisation assumes smooth, continuous improvement; emergence produces discontinuous jumps that violate those assumptions.</w:t>
      </w:r>
    </w:p>
    <w:p>
      <w:pPr>
        <w:pStyle w:val="BodyText"/>
      </w:pPr>
      <w:r>
        <w:rPr>
          <w:bCs/>
          <w:b/>
        </w:rPr>
        <w:t xml:space="preserve">Strategies for balance: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Tiered allocation:</w:t>
      </w:r>
      <w:r>
        <w:t xml:space="preserve"> </w:t>
      </w:r>
      <w:r>
        <w:t xml:space="preserve">Most queries (70–80%) pursue predictable refinement near known optima; a minority (20–30%) explicitly probe for emergence via controlled exploration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Anomaly detection:</w:t>
      </w:r>
      <w:r>
        <w:t xml:space="preserve"> </w:t>
      </w:r>
      <w:r>
        <w:t xml:space="preserve">Track output variance, gradient magnitudes, and surrogate disagreement. Sudden changes trigger investigation rather than automatic exploitation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regions with escape hatches:</w:t>
      </w:r>
      <w:r>
        <w:t xml:space="preserve"> </w:t>
      </w:r>
      <w:r>
        <w:t xml:space="preserve">Constrain most queries to small perturbations around current best, but periodically test points outside trust regions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Ensemble hedging:</w:t>
      </w:r>
      <w:r>
        <w:t xml:space="preserve"> </w:t>
      </w:r>
      <w:r>
        <w:t xml:space="preserve">Maintain surrogate diversity (GP + neural network) so that emergence signals appear as disagreement rather than false confidence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Endgame discipline:</w:t>
      </w:r>
      <w:r>
        <w:t xml:space="preserve"> </w:t>
      </w:r>
      <w:r>
        <w:t xml:space="preserve">As rounds conclude, shift toward submitting best-known values with maximum precision — accepting that late-stage emergence discoveries may not have time for proper exploitation</w:t>
      </w:r>
    </w:p>
    <w:p>
      <w:pPr>
        <w:pStyle w:val="FirstParagraph"/>
      </w:pPr>
      <w:r>
        <w:rPr>
          <w:bCs/>
          <w:b/>
        </w:rPr>
        <w:t xml:space="preserve">Philosophical stance:</w:t>
      </w:r>
      <w:r>
        <w:t xml:space="preserve"> </w:t>
      </w:r>
      <w:r>
        <w:t xml:space="preserve">In black-box optimisation with incomplete information, the goal is not perfect prediction but robust decision-making under uncertainty. Emergence is a feature of complex systems; preparation means building adaptive strategies rather than assuming predictability.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2026-03-15T08:15:23Z</dcterms:created>
  <dcterms:modified xsi:type="dcterms:W3CDTF">2026-03-15T08:15:23Z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