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Julio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julio de 2026, el IGAE General se ubicó en 109.2 puntos (base 2018=100). Esto representa una variación mensual de +1.7% respecto al mes inmediato anterior. En comparación con julio de 2025 (cuando el índice se ubicó en 105.7 puntos), esto representa una variación anual de +3.4%.</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8 de los últimos 12 meses el índice registró una variación anual positiva. El nivel de julio de 2026 es el más alto de toda la serie histórica.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julio de 2025 vs. julio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jul-25</w:t>
            </w:r>
          </w:p>
        </w:tc>
        <w:tc>
          <w:tcPr>
            <w:tcW w:type="dxa" w:w="1872"/>
            <w:shd w:val="clear" w:color="auto" w:fill="D9E2F3"/>
          </w:tcPr>
          <w:p>
            <w:pPr>
              <w:jc w:val="right"/>
            </w:pPr>
            <w:r/>
            <w:r>
              <w:rPr>
                <w:rFonts w:ascii="Cambria" w:hAnsi="Cambria"/>
                <w:b/>
                <w:color w:val="1F1F1F"/>
                <w:sz w:val="20"/>
              </w:rPr>
              <w:t>jul-26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105.7</w:t>
            </w:r>
          </w:p>
        </w:tc>
        <w:tc>
          <w:tcPr>
            <w:tcW w:type="dxa" w:w="1872"/>
          </w:tcPr>
          <w:p>
            <w:pPr>
              <w:jc w:val="right"/>
            </w:pPr>
            <w:r/>
            <w:r>
              <w:rPr>
                <w:rFonts w:ascii="Cambria" w:hAnsi="Cambria"/>
                <w:b w:val="0"/>
                <w:color w:val="1F1F1F"/>
                <w:sz w:val="20"/>
              </w:rPr>
              <w:t>109.2</w:t>
            </w:r>
          </w:p>
        </w:tc>
        <w:tc>
          <w:tcPr>
            <w:tcW w:type="dxa" w:w="1872"/>
          </w:tcPr>
          <w:p>
            <w:pPr>
              <w:jc w:val="right"/>
            </w:pPr>
            <w:r/>
            <w:r>
              <w:rPr>
                <w:rFonts w:ascii="Cambria" w:hAnsi="Cambria"/>
                <w:b/>
                <w:color w:val="2E7D32"/>
                <w:sz w:val="20"/>
              </w:rPr>
              <w:t>+3.4%</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r>
        <w:trPr>
          <w:cantSplit/>
        </w:trPr>
        <w:tc>
          <w:tcPr>
            <w:tcW w:type="dxa" w:w="3168"/>
          </w:tcPr>
          <w:p>
            <w:r/>
            <w:r>
              <w:rPr>
                <w:rFonts w:ascii="Cambria" w:hAnsi="Cambria"/>
                <w:b w:val="0"/>
                <w:color w:val="1F1F1F"/>
                <w:sz w:val="20"/>
              </w:rPr>
              <w:t>mar-26</w:t>
            </w:r>
          </w:p>
        </w:tc>
        <w:tc>
          <w:tcPr>
            <w:tcW w:type="dxa" w:w="3168"/>
          </w:tcPr>
          <w:p>
            <w:pPr>
              <w:jc w:val="right"/>
            </w:pPr>
            <w:r/>
            <w:r>
              <w:rPr>
                <w:rFonts w:ascii="Cambria" w:hAnsi="Cambria"/>
                <w:b w:val="0"/>
                <w:color w:val="1F1F1F"/>
                <w:sz w:val="20"/>
              </w:rPr>
              <w:t>106.7</w:t>
            </w:r>
          </w:p>
        </w:tc>
        <w:tc>
          <w:tcPr>
            <w:tcW w:type="dxa" w:w="3024"/>
          </w:tcPr>
          <w:p>
            <w:pPr>
              <w:jc w:val="right"/>
            </w:pPr>
            <w:r/>
            <w:r>
              <w:rPr>
                <w:rFonts w:ascii="Cambria" w:hAnsi="Cambria"/>
                <w:b w:val="0"/>
                <w:color w:val="2E7D32"/>
                <w:sz w:val="20"/>
              </w:rPr>
              <w:t>+1.2%</w:t>
            </w:r>
          </w:p>
        </w:tc>
      </w:tr>
      <w:tr>
        <w:trPr>
          <w:cantSplit/>
        </w:trPr>
        <w:tc>
          <w:tcPr>
            <w:tcW w:type="dxa" w:w="3168"/>
          </w:tcPr>
          <w:p>
            <w:r/>
            <w:r>
              <w:rPr>
                <w:rFonts w:ascii="Cambria" w:hAnsi="Cambria"/>
                <w:b w:val="0"/>
                <w:color w:val="1F1F1F"/>
                <w:sz w:val="20"/>
              </w:rPr>
              <w:t>abr-26</w:t>
            </w:r>
          </w:p>
        </w:tc>
        <w:tc>
          <w:tcPr>
            <w:tcW w:type="dxa" w:w="3168"/>
          </w:tcPr>
          <w:p>
            <w:pPr>
              <w:jc w:val="right"/>
            </w:pPr>
            <w:r/>
            <w:r>
              <w:rPr>
                <w:rFonts w:ascii="Cambria" w:hAnsi="Cambria"/>
                <w:b w:val="0"/>
                <w:color w:val="1F1F1F"/>
                <w:sz w:val="20"/>
              </w:rPr>
              <w:t>106.6</w:t>
            </w:r>
          </w:p>
        </w:tc>
        <w:tc>
          <w:tcPr>
            <w:tcW w:type="dxa" w:w="3024"/>
          </w:tcPr>
          <w:p>
            <w:pPr>
              <w:jc w:val="right"/>
            </w:pPr>
            <w:r/>
            <w:r>
              <w:rPr>
                <w:rFonts w:ascii="Cambria" w:hAnsi="Cambria"/>
                <w:b w:val="0"/>
                <w:color w:val="2E7D32"/>
                <w:sz w:val="20"/>
              </w:rPr>
              <w:t>+2.5%</w:t>
            </w:r>
          </w:p>
        </w:tc>
      </w:tr>
      <w:tr>
        <w:trPr>
          <w:cantSplit/>
        </w:trPr>
        <w:tc>
          <w:tcPr>
            <w:tcW w:type="dxa" w:w="3168"/>
          </w:tcPr>
          <w:p>
            <w:r/>
            <w:r>
              <w:rPr>
                <w:rFonts w:ascii="Cambria" w:hAnsi="Cambria"/>
                <w:b w:val="0"/>
                <w:color w:val="1F1F1F"/>
                <w:sz w:val="20"/>
              </w:rPr>
              <w:t>may-26</w:t>
            </w:r>
          </w:p>
        </w:tc>
        <w:tc>
          <w:tcPr>
            <w:tcW w:type="dxa" w:w="3168"/>
          </w:tcPr>
          <w:p>
            <w:pPr>
              <w:jc w:val="right"/>
            </w:pPr>
            <w:r/>
            <w:r>
              <w:rPr>
                <w:rFonts w:ascii="Cambria" w:hAnsi="Cambria"/>
                <w:b w:val="0"/>
                <w:color w:val="1F1F1F"/>
                <w:sz w:val="20"/>
              </w:rPr>
              <w:t>108.5</w:t>
            </w:r>
          </w:p>
        </w:tc>
        <w:tc>
          <w:tcPr>
            <w:tcW w:type="dxa" w:w="3024"/>
          </w:tcPr>
          <w:p>
            <w:pPr>
              <w:jc w:val="right"/>
            </w:pPr>
            <w:r/>
            <w:r>
              <w:rPr>
                <w:rFonts w:ascii="Cambria" w:hAnsi="Cambria"/>
                <w:b w:val="0"/>
                <w:color w:val="2E7D32"/>
                <w:sz w:val="20"/>
              </w:rPr>
              <w:t>+1.1%</w:t>
            </w:r>
          </w:p>
        </w:tc>
      </w:tr>
      <w:tr>
        <w:trPr>
          <w:cantSplit/>
        </w:trPr>
        <w:tc>
          <w:tcPr>
            <w:tcW w:type="dxa" w:w="3168"/>
          </w:tcPr>
          <w:p>
            <w:r/>
            <w:r>
              <w:rPr>
                <w:rFonts w:ascii="Cambria" w:hAnsi="Cambria"/>
                <w:b w:val="0"/>
                <w:color w:val="1F1F1F"/>
                <w:sz w:val="20"/>
              </w:rPr>
              <w:t>jun-26</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+2.8%</w:t>
            </w:r>
          </w:p>
        </w:tc>
      </w:tr>
      <w:tr>
        <w:trPr>
          <w:cantSplit/>
        </w:trPr>
        <w:tc>
          <w:tcPr>
            <w:tcW w:type="dxa" w:w="3168"/>
          </w:tcPr>
          <w:p>
            <w:r/>
            <w:r>
              <w:rPr>
                <w:rFonts w:ascii="Cambria" w:hAnsi="Cambria"/>
                <w:b w:val="0"/>
                <w:color w:val="1F1F1F"/>
                <w:sz w:val="20"/>
              </w:rPr>
              <w:t>jul-26</w:t>
            </w:r>
          </w:p>
        </w:tc>
        <w:tc>
          <w:tcPr>
            <w:tcW w:type="dxa" w:w="3168"/>
          </w:tcPr>
          <w:p>
            <w:pPr>
              <w:jc w:val="right"/>
            </w:pPr>
            <w:r/>
            <w:r>
              <w:rPr>
                <w:rFonts w:ascii="Cambria" w:hAnsi="Cambria"/>
                <w:b w:val="0"/>
                <w:color w:val="1F1F1F"/>
                <w:sz w:val="20"/>
              </w:rPr>
              <w:t>109.2</w:t>
            </w:r>
          </w:p>
        </w:tc>
        <w:tc>
          <w:tcPr>
            <w:tcW w:type="dxa" w:w="3024"/>
          </w:tcPr>
          <w:p>
            <w:pPr>
              <w:jc w:val="right"/>
            </w:pPr>
            <w:r/>
            <w:r>
              <w:rPr>
                <w:rFonts w:ascii="Cambria" w:hAnsi="Cambria"/>
                <w:b w:val="0"/>
                <w:color w:val="2E7D32"/>
                <w:sz w:val="20"/>
              </w:rPr>
              <w:t>+3.4%</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julio de 2026, la actividad económica con mayor nivel de índice fue Actividades terciarias con un valor de 112.4, seguida de Actividades secundarias con 104.3 y Actividades primarias con 101.4. En términos de crecimiento anual, Actividades terciarias registró la mayor variación (+4.0%), seguida de Actividades secundarias (+2.7%) y Actividades primarias (-1.1%). La siguiente tabla muestra el nivel del IGAE por actividad económica y su comparación contra julio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jul-25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108.2</w:t>
            </w:r>
          </w:p>
        </w:tc>
        <w:tc>
          <w:tcPr>
            <w:tcW w:type="dxa" w:w="1296"/>
          </w:tcPr>
          <w:p>
            <w:pPr>
              <w:jc w:val="right"/>
            </w:pPr>
            <w:r/>
            <w:r>
              <w:rPr>
                <w:rFonts w:ascii="Cambria" w:hAnsi="Cambria"/>
                <w:b w:val="0"/>
                <w:color w:val="1F1F1F"/>
                <w:sz w:val="20"/>
              </w:rPr>
              <w:t>112.4</w:t>
            </w:r>
          </w:p>
        </w:tc>
        <w:tc>
          <w:tcPr>
            <w:tcW w:type="dxa" w:w="1296"/>
          </w:tcPr>
          <w:p>
            <w:pPr>
              <w:jc w:val="right"/>
            </w:pPr>
            <w:r/>
            <w:r>
              <w:rPr>
                <w:rFonts w:ascii="Cambria" w:hAnsi="Cambria"/>
                <w:b w:val="0"/>
                <w:color w:val="2E7D32"/>
                <w:sz w:val="20"/>
              </w:rPr>
              <w:t>+4.0%</w:t>
            </w:r>
          </w:p>
        </w:tc>
        <w:tc>
          <w:tcPr>
            <w:tcW w:type="dxa" w:w="1584"/>
          </w:tcPr>
          <w:p>
            <w:pPr>
              <w:jc w:val="right"/>
            </w:pPr>
            <w:r/>
            <w:r>
              <w:rPr>
                <w:rFonts w:ascii="Cambria" w:hAnsi="Cambria"/>
                <w:b w:val="0"/>
                <w:color w:val="2E7D32"/>
                <w:sz w:val="20"/>
              </w:rPr>
              <w:t>+2.0%</w:t>
            </w:r>
          </w:p>
        </w:tc>
        <w:tc>
          <w:tcPr>
            <w:tcW w:type="dxa" w:w="1440"/>
          </w:tcPr>
          <w:p>
            <w:pPr>
              <w:jc w:val="right"/>
            </w:pPr>
            <w:r/>
            <w:r>
              <w:rPr>
                <w:rFonts w:ascii="Cambria" w:hAnsi="Cambria"/>
                <w:b w:val="0"/>
                <w:color w:val="1F1F1F"/>
                <w:sz w:val="20"/>
              </w:rPr>
              <w:t>2.50</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101.6</w:t>
            </w:r>
          </w:p>
        </w:tc>
        <w:tc>
          <w:tcPr>
            <w:tcW w:type="dxa" w:w="1296"/>
          </w:tcPr>
          <w:p>
            <w:pPr>
              <w:jc w:val="right"/>
            </w:pPr>
            <w:r/>
            <w:r>
              <w:rPr>
                <w:rFonts w:ascii="Cambria" w:hAnsi="Cambria"/>
                <w:b w:val="0"/>
                <w:color w:val="1F1F1F"/>
                <w:sz w:val="20"/>
              </w:rPr>
              <w:t>104.3</w:t>
            </w:r>
          </w:p>
        </w:tc>
        <w:tc>
          <w:tcPr>
            <w:tcW w:type="dxa" w:w="1296"/>
          </w:tcPr>
          <w:p>
            <w:pPr>
              <w:jc w:val="right"/>
            </w:pPr>
            <w:r/>
            <w:r>
              <w:rPr>
                <w:rFonts w:ascii="Cambria" w:hAnsi="Cambria"/>
                <w:b w:val="0"/>
                <w:color w:val="2E7D32"/>
                <w:sz w:val="20"/>
              </w:rPr>
              <w:t>+2.7%</w:t>
            </w:r>
          </w:p>
        </w:tc>
        <w:tc>
          <w:tcPr>
            <w:tcW w:type="dxa" w:w="1584"/>
          </w:tcPr>
          <w:p>
            <w:pPr>
              <w:jc w:val="right"/>
            </w:pPr>
            <w:r/>
            <w:r>
              <w:rPr>
                <w:rFonts w:ascii="Cambria" w:hAnsi="Cambria"/>
                <w:b w:val="0"/>
                <w:color w:val="2E7D32"/>
                <w:sz w:val="20"/>
              </w:rPr>
              <w:t>+0.4%</w:t>
            </w:r>
          </w:p>
        </w:tc>
        <w:tc>
          <w:tcPr>
            <w:tcW w:type="dxa" w:w="1440"/>
          </w:tcPr>
          <w:p>
            <w:pPr>
              <w:jc w:val="right"/>
            </w:pPr>
            <w:r/>
            <w:r>
              <w:rPr>
                <w:rFonts w:ascii="Cambria" w:hAnsi="Cambria"/>
                <w:b w:val="0"/>
                <w:color w:val="1F1F1F"/>
                <w:sz w:val="20"/>
              </w:rPr>
              <w:t>0.90</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102.5</w:t>
            </w:r>
          </w:p>
        </w:tc>
        <w:tc>
          <w:tcPr>
            <w:tcW w:type="dxa" w:w="1296"/>
          </w:tcPr>
          <w:p>
            <w:pPr>
              <w:jc w:val="right"/>
            </w:pPr>
            <w:r/>
            <w:r>
              <w:rPr>
                <w:rFonts w:ascii="Cambria" w:hAnsi="Cambria"/>
                <w:b w:val="0"/>
                <w:color w:val="1F1F1F"/>
                <w:sz w:val="20"/>
              </w:rPr>
              <w:t>101.4</w:t>
            </w:r>
          </w:p>
        </w:tc>
        <w:tc>
          <w:tcPr>
            <w:tcW w:type="dxa" w:w="1296"/>
          </w:tcPr>
          <w:p>
            <w:pPr>
              <w:jc w:val="right"/>
            </w:pPr>
            <w:r/>
            <w:r>
              <w:rPr>
                <w:rFonts w:ascii="Cambria" w:hAnsi="Cambria"/>
                <w:b w:val="0"/>
                <w:color w:val="C62828"/>
                <w:sz w:val="20"/>
              </w:rPr>
              <w:t>-1.1%</w:t>
            </w:r>
          </w:p>
        </w:tc>
        <w:tc>
          <w:tcPr>
            <w:tcW w:type="dxa" w:w="1584"/>
          </w:tcPr>
          <w:p>
            <w:pPr>
              <w:jc w:val="right"/>
            </w:pPr>
            <w:r/>
            <w:r>
              <w:rPr>
                <w:rFonts w:ascii="Cambria" w:hAnsi="Cambria"/>
                <w:b w:val="0"/>
                <w:color w:val="2E7D32"/>
                <w:sz w:val="20"/>
              </w:rPr>
              <w:t>+1.8%</w:t>
            </w:r>
          </w:p>
        </w:tc>
        <w:tc>
          <w:tcPr>
            <w:tcW w:type="dxa" w:w="1440"/>
          </w:tcPr>
          <w:p>
            <w:pPr>
              <w:jc w:val="right"/>
            </w:pPr>
            <w:r/>
            <w:r>
              <w:rPr>
                <w:rFonts w:ascii="Cambria" w:hAnsi="Cambria"/>
                <w:b w:val="0"/>
                <w:color w:val="1F1F1F"/>
                <w:sz w:val="20"/>
              </w:rPr>
              <w:t>-0.04</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julio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(+3.4%). Comercio al por mayor fue el subsector que más aportó (1.34 pp), mientras que Agricultura fue el que más restó (-0.07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-1.1%</w:t>
            </w:r>
          </w:p>
        </w:tc>
        <w:tc>
          <w:tcPr>
            <w:tcW w:type="dxa" w:w="1728"/>
            <w:shd w:val="clear" w:color="auto" w:fill="EAF1FB"/>
          </w:tcPr>
          <w:p>
            <w:pPr>
              <w:jc w:val="right"/>
            </w:pPr>
            <w:r/>
            <w:r>
              <w:rPr>
                <w:rFonts w:ascii="Cambria" w:hAnsi="Cambria"/>
                <w:b/>
                <w:color w:val="2E7D32"/>
                <w:sz w:val="20"/>
              </w:rPr>
              <w:t>+1.8%</w:t>
            </w:r>
          </w:p>
        </w:tc>
        <w:tc>
          <w:tcPr>
            <w:tcW w:type="dxa" w:w="1512"/>
            <w:shd w:val="clear" w:color="auto" w:fill="EAF1FB"/>
          </w:tcPr>
          <w:p>
            <w:pPr>
              <w:jc w:val="right"/>
            </w:pPr>
            <w:r/>
            <w:r>
              <w:rPr>
                <w:rFonts w:ascii="Cambria" w:hAnsi="Cambria"/>
                <w:b/>
                <w:color w:val="C62828"/>
                <w:sz w:val="20"/>
              </w:rPr>
              <w:t>-0.04</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-3.3%</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+2.7%</w:t>
            </w:r>
          </w:p>
        </w:tc>
        <w:tc>
          <w:tcPr>
            <w:tcW w:type="dxa" w:w="1728"/>
          </w:tcPr>
          <w:p>
            <w:pPr>
              <w:jc w:val="right"/>
            </w:pPr>
            <w:r/>
            <w:r>
              <w:rPr>
                <w:rFonts w:ascii="Cambria" w:hAnsi="Cambria"/>
                <w:b w:val="0"/>
                <w:color w:val="2E7D32"/>
                <w:sz w:val="20"/>
              </w:rPr>
              <w:t>+4.8%</w:t>
            </w:r>
          </w:p>
        </w:tc>
        <w:tc>
          <w:tcPr>
            <w:tcW w:type="dxa" w:w="1512"/>
          </w:tcPr>
          <w:p>
            <w:pPr>
              <w:jc w:val="right"/>
            </w:pPr>
            <w:r/>
            <w:r>
              <w:rPr>
                <w:rFonts w:ascii="Cambria" w:hAnsi="Cambria"/>
                <w:b w:val="0"/>
                <w:color w:val="2E7D32"/>
                <w:sz w:val="20"/>
              </w:rPr>
              <w:t>0.03</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+2.7%</w:t>
            </w:r>
          </w:p>
        </w:tc>
        <w:tc>
          <w:tcPr>
            <w:tcW w:type="dxa" w:w="1728"/>
            <w:shd w:val="clear" w:color="auto" w:fill="EAF1FB"/>
          </w:tcPr>
          <w:p>
            <w:pPr>
              <w:jc w:val="right"/>
            </w:pPr>
            <w:r/>
            <w:r>
              <w:rPr>
                <w:rFonts w:ascii="Cambria" w:hAnsi="Cambria"/>
                <w:b/>
                <w:color w:val="2E7D32"/>
                <w:sz w:val="20"/>
              </w:rPr>
              <w:t>+0.4%</w:t>
            </w:r>
          </w:p>
        </w:tc>
        <w:tc>
          <w:tcPr>
            <w:tcW w:type="dxa" w:w="1512"/>
            <w:shd w:val="clear" w:color="auto" w:fill="EAF1FB"/>
          </w:tcPr>
          <w:p>
            <w:pPr>
              <w:jc w:val="right"/>
            </w:pPr>
            <w:r/>
            <w:r>
              <w:rPr>
                <w:rFonts w:ascii="Cambria" w:hAnsi="Cambria"/>
                <w:b/>
                <w:color w:val="2E7D32"/>
                <w:sz w:val="20"/>
              </w:rPr>
              <w:t>0.90</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1F1F1F"/>
                <w:sz w:val="20"/>
              </w:rPr>
              <w:t>-0.0%</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+7.3%</w:t>
            </w:r>
          </w:p>
        </w:tc>
        <w:tc>
          <w:tcPr>
            <w:tcW w:type="dxa" w:w="1728"/>
          </w:tcPr>
          <w:p>
            <w:pPr>
              <w:jc w:val="right"/>
            </w:pPr>
            <w:r/>
            <w:r>
              <w:rPr>
                <w:rFonts w:ascii="Cambria" w:hAnsi="Cambria"/>
                <w:b w:val="0"/>
                <w:color w:val="2E7D32"/>
                <w:sz w:val="20"/>
              </w:rPr>
              <w:t>+2.8%</w:t>
            </w:r>
          </w:p>
        </w:tc>
        <w:tc>
          <w:tcPr>
            <w:tcW w:type="dxa" w:w="1512"/>
          </w:tcPr>
          <w:p>
            <w:pPr>
              <w:jc w:val="right"/>
            </w:pPr>
            <w:r/>
            <w:r>
              <w:rPr>
                <w:rFonts w:ascii="Cambria" w:hAnsi="Cambria"/>
                <w:b w:val="0"/>
                <w:color w:val="2E7D32"/>
                <w:sz w:val="20"/>
              </w:rPr>
              <w:t>0.48</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C62828"/>
                <w:sz w:val="20"/>
              </w:rPr>
              <w:t>-0.7%</w:t>
            </w:r>
          </w:p>
        </w:tc>
        <w:tc>
          <w:tcPr>
            <w:tcW w:type="dxa" w:w="1512"/>
          </w:tcPr>
          <w:p>
            <w:pPr>
              <w:jc w:val="right"/>
            </w:pPr>
            <w:r/>
            <w:r>
              <w:rPr>
                <w:rFonts w:ascii="Cambria" w:hAnsi="Cambria"/>
                <w:b w:val="0"/>
                <w:color w:val="2E7D32"/>
                <w:sz w:val="20"/>
              </w:rPr>
              <w:t>0.35</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+4.0%</w:t>
            </w:r>
          </w:p>
        </w:tc>
        <w:tc>
          <w:tcPr>
            <w:tcW w:type="dxa" w:w="1728"/>
            <w:shd w:val="clear" w:color="auto" w:fill="EAF1FB"/>
          </w:tcPr>
          <w:p>
            <w:pPr>
              <w:jc w:val="right"/>
            </w:pPr>
            <w:r/>
            <w:r>
              <w:rPr>
                <w:rFonts w:ascii="Cambria" w:hAnsi="Cambria"/>
                <w:b/>
                <w:color w:val="2E7D32"/>
                <w:sz w:val="20"/>
              </w:rPr>
              <w:t>+2.0%</w:t>
            </w:r>
          </w:p>
        </w:tc>
        <w:tc>
          <w:tcPr>
            <w:tcW w:type="dxa" w:w="1512"/>
            <w:shd w:val="clear" w:color="auto" w:fill="EAF1FB"/>
          </w:tcPr>
          <w:p>
            <w:pPr>
              <w:jc w:val="right"/>
            </w:pPr>
            <w:r/>
            <w:r>
              <w:rPr>
                <w:rFonts w:ascii="Cambria" w:hAnsi="Cambria"/>
                <w:b/>
                <w:color w:val="2E7D32"/>
                <w:sz w:val="20"/>
              </w:rPr>
              <w:t>2.50</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+13.0%</w:t>
            </w:r>
          </w:p>
        </w:tc>
        <w:tc>
          <w:tcPr>
            <w:tcW w:type="dxa" w:w="1728"/>
          </w:tcPr>
          <w:p>
            <w:pPr>
              <w:jc w:val="right"/>
            </w:pPr>
            <w:r/>
            <w:r>
              <w:rPr>
                <w:rFonts w:ascii="Cambria" w:hAnsi="Cambria"/>
                <w:b w:val="0"/>
                <w:color w:val="2E7D32"/>
                <w:sz w:val="20"/>
              </w:rPr>
              <w:t>+7.6%</w:t>
            </w:r>
          </w:p>
        </w:tc>
        <w:tc>
          <w:tcPr>
            <w:tcW w:type="dxa" w:w="1512"/>
          </w:tcPr>
          <w:p>
            <w:pPr>
              <w:jc w:val="right"/>
            </w:pPr>
            <w:r/>
            <w:r>
              <w:rPr>
                <w:rFonts w:ascii="Cambria" w:hAnsi="Cambria"/>
                <w:b w:val="0"/>
                <w:color w:val="2E7D32"/>
                <w:sz w:val="20"/>
              </w:rPr>
              <w:t>1.34</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+3.6%</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2E7D32"/>
                <w:sz w:val="20"/>
              </w:rPr>
              <w:t>0.42</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+3.9%</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0.33</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+3.5%</w:t>
            </w:r>
          </w:p>
        </w:tc>
        <w:tc>
          <w:tcPr>
            <w:tcW w:type="dxa" w:w="1728"/>
          </w:tcPr>
          <w:p>
            <w:pPr>
              <w:jc w:val="right"/>
            </w:pPr>
            <w:r/>
            <w:r>
              <w:rPr>
                <w:rFonts w:ascii="Cambria" w:hAnsi="Cambria"/>
                <w:b w:val="0"/>
                <w:color w:val="2E7D32"/>
                <w:sz w:val="20"/>
              </w:rPr>
              <w:t>+1.2%</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+1.4%</w:t>
            </w:r>
          </w:p>
        </w:tc>
        <w:tc>
          <w:tcPr>
            <w:tcW w:type="dxa" w:w="1728"/>
          </w:tcPr>
          <w:p>
            <w:pPr>
              <w:jc w:val="right"/>
            </w:pPr>
            <w:r/>
            <w:r>
              <w:rPr>
                <w:rFonts w:ascii="Cambria" w:hAnsi="Cambria"/>
                <w:b w:val="0"/>
                <w:color w:val="2E7D32"/>
                <w:sz w:val="20"/>
              </w:rPr>
              <w:t>+2.0%</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-4.3%</w:t>
            </w:r>
          </w:p>
        </w:tc>
        <w:tc>
          <w:tcPr>
            <w:tcW w:type="dxa" w:w="1728"/>
          </w:tcPr>
          <w:p>
            <w:pPr>
              <w:jc w:val="right"/>
            </w:pPr>
            <w:r/>
            <w:r>
              <w:rPr>
                <w:rFonts w:ascii="Cambria" w:hAnsi="Cambria"/>
                <w:b w:val="0"/>
                <w:color w:val="C62828"/>
                <w:sz w:val="20"/>
              </w:rPr>
              <w:t>-1.0%</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C62828"/>
                <w:sz w:val="20"/>
              </w:rPr>
              <w:t>-0.3%</w:t>
            </w:r>
          </w:p>
        </w:tc>
        <w:tc>
          <w:tcPr>
            <w:tcW w:type="dxa" w:w="1728"/>
          </w:tcPr>
          <w:p>
            <w:pPr>
              <w:jc w:val="right"/>
            </w:pPr>
            <w:r/>
            <w:r>
              <w:rPr>
                <w:rFonts w:ascii="Cambria" w:hAnsi="Cambria"/>
                <w:b w:val="0"/>
                <w:color w:val="2E7D32"/>
                <w:sz w:val="20"/>
              </w:rPr>
              <w:t>+0.3%</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+3.4%</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+8.0%</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-2.0%</w:t>
            </w:r>
          </w:p>
        </w:tc>
        <w:tc>
          <w:tcPr>
            <w:tcW w:type="dxa" w:w="1728"/>
          </w:tcPr>
          <w:p>
            <w:pPr>
              <w:jc w:val="right"/>
            </w:pPr>
            <w:r/>
            <w:r>
              <w:rPr>
                <w:rFonts w:ascii="Cambria" w:hAnsi="Cambria"/>
                <w:b w:val="0"/>
                <w:color w:val="C62828"/>
                <w:sz w:val="20"/>
              </w:rPr>
              <w:t>-2.6%</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+4.6%</w:t>
            </w:r>
          </w:p>
        </w:tc>
        <w:tc>
          <w:tcPr>
            <w:tcW w:type="dxa" w:w="1728"/>
          </w:tcPr>
          <w:p>
            <w:pPr>
              <w:jc w:val="right"/>
            </w:pPr>
            <w:r/>
            <w:r>
              <w:rPr>
                <w:rFonts w:ascii="Cambria" w:hAnsi="Cambria"/>
                <w:b w:val="0"/>
                <w:color w:val="2E7D32"/>
                <w:sz w:val="20"/>
              </w:rPr>
              <w:t>+3.7%</w:t>
            </w:r>
          </w:p>
        </w:tc>
        <w:tc>
          <w:tcPr>
            <w:tcW w:type="dxa" w:w="1512"/>
          </w:tcPr>
          <w:p>
            <w:pPr>
              <w:jc w:val="right"/>
            </w:pPr>
            <w:r/>
            <w:r>
              <w:rPr>
                <w:rFonts w:ascii="Cambria" w:hAnsi="Cambria"/>
                <w:b w:val="0"/>
                <w:color w:val="2E7D32"/>
                <w:sz w:val="20"/>
              </w:rPr>
              <w:t>0.16</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r>
        <w:trPr>
          <w:cantSplit/>
        </w:trPr>
        <w:tc>
          <w:tcPr>
            <w:tcW w:type="dxa" w:w="2304"/>
          </w:tcPr>
          <w:p>
            <w:r/>
            <w:r>
              <w:rPr>
                <w:rFonts w:ascii="Cambria" w:hAnsi="Cambria"/>
                <w:b w:val="0"/>
                <w:color w:val="1F1F1F"/>
                <w:sz w:val="20"/>
              </w:rPr>
              <w:t>mar-26</w:t>
            </w:r>
          </w:p>
        </w:tc>
        <w:tc>
          <w:tcPr>
            <w:tcW w:type="dxa" w:w="2304"/>
          </w:tcPr>
          <w:p>
            <w:pPr>
              <w:jc w:val="right"/>
            </w:pPr>
            <w:r/>
            <w:r>
              <w:rPr>
                <w:rFonts w:ascii="Cambria" w:hAnsi="Cambria"/>
                <w:b w:val="0"/>
                <w:color w:val="1F1F1F"/>
                <w:sz w:val="20"/>
              </w:rPr>
              <w:t>96.2</w:t>
            </w:r>
          </w:p>
        </w:tc>
        <w:tc>
          <w:tcPr>
            <w:tcW w:type="dxa" w:w="2304"/>
          </w:tcPr>
          <w:p>
            <w:pPr>
              <w:jc w:val="right"/>
            </w:pPr>
            <w:r/>
            <w:r>
              <w:rPr>
                <w:rFonts w:ascii="Cambria" w:hAnsi="Cambria"/>
                <w:b w:val="0"/>
                <w:color w:val="1F1F1F"/>
                <w:sz w:val="20"/>
              </w:rPr>
              <w:t>102.9</w:t>
            </w:r>
          </w:p>
        </w:tc>
        <w:tc>
          <w:tcPr>
            <w:tcW w:type="dxa" w:w="2304"/>
          </w:tcPr>
          <w:p>
            <w:pPr>
              <w:jc w:val="right"/>
            </w:pPr>
            <w:r/>
            <w:r>
              <w:rPr>
                <w:rFonts w:ascii="Cambria" w:hAnsi="Cambria"/>
                <w:b w:val="0"/>
                <w:color w:val="1F1F1F"/>
                <w:sz w:val="20"/>
              </w:rPr>
              <w:t>109.5</w:t>
            </w:r>
          </w:p>
        </w:tc>
      </w:tr>
      <w:tr>
        <w:trPr>
          <w:cantSplit/>
        </w:trPr>
        <w:tc>
          <w:tcPr>
            <w:tcW w:type="dxa" w:w="2304"/>
          </w:tcPr>
          <w:p>
            <w:r/>
            <w:r>
              <w:rPr>
                <w:rFonts w:ascii="Cambria" w:hAnsi="Cambria"/>
                <w:b w:val="0"/>
                <w:color w:val="1F1F1F"/>
                <w:sz w:val="20"/>
              </w:rPr>
              <w:t>abr-26</w:t>
            </w:r>
          </w:p>
        </w:tc>
        <w:tc>
          <w:tcPr>
            <w:tcW w:type="dxa" w:w="2304"/>
          </w:tcPr>
          <w:p>
            <w:pPr>
              <w:jc w:val="right"/>
            </w:pPr>
            <w:r/>
            <w:r>
              <w:rPr>
                <w:rFonts w:ascii="Cambria" w:hAnsi="Cambria"/>
                <w:b w:val="0"/>
                <w:color w:val="1F1F1F"/>
                <w:sz w:val="20"/>
              </w:rPr>
              <w:t>104.6</w:t>
            </w:r>
          </w:p>
        </w:tc>
        <w:tc>
          <w:tcPr>
            <w:tcW w:type="dxa" w:w="2304"/>
          </w:tcPr>
          <w:p>
            <w:pPr>
              <w:jc w:val="right"/>
            </w:pPr>
            <w:r/>
            <w:r>
              <w:rPr>
                <w:rFonts w:ascii="Cambria" w:hAnsi="Cambria"/>
                <w:b w:val="0"/>
                <w:color w:val="1F1F1F"/>
                <w:sz w:val="20"/>
              </w:rPr>
              <w:t>102.6</w:t>
            </w:r>
          </w:p>
        </w:tc>
        <w:tc>
          <w:tcPr>
            <w:tcW w:type="dxa" w:w="2304"/>
          </w:tcPr>
          <w:p>
            <w:pPr>
              <w:jc w:val="right"/>
            </w:pPr>
            <w:r/>
            <w:r>
              <w:rPr>
                <w:rFonts w:ascii="Cambria" w:hAnsi="Cambria"/>
                <w:b w:val="0"/>
                <w:color w:val="1F1F1F"/>
                <w:sz w:val="20"/>
              </w:rPr>
              <w:t>109.0</w:t>
            </w:r>
          </w:p>
        </w:tc>
      </w:tr>
      <w:tr>
        <w:trPr>
          <w:cantSplit/>
        </w:trPr>
        <w:tc>
          <w:tcPr>
            <w:tcW w:type="dxa" w:w="2304"/>
          </w:tcPr>
          <w:p>
            <w:r/>
            <w:r>
              <w:rPr>
                <w:rFonts w:ascii="Cambria" w:hAnsi="Cambria"/>
                <w:b w:val="0"/>
                <w:color w:val="1F1F1F"/>
                <w:sz w:val="20"/>
              </w:rPr>
              <w:t>may-26</w:t>
            </w:r>
          </w:p>
        </w:tc>
        <w:tc>
          <w:tcPr>
            <w:tcW w:type="dxa" w:w="2304"/>
          </w:tcPr>
          <w:p>
            <w:pPr>
              <w:jc w:val="right"/>
            </w:pPr>
            <w:r/>
            <w:r>
              <w:rPr>
                <w:rFonts w:ascii="Cambria" w:hAnsi="Cambria"/>
                <w:b w:val="0"/>
                <w:color w:val="1F1F1F"/>
                <w:sz w:val="20"/>
              </w:rPr>
              <w:t>125.7</w:t>
            </w:r>
          </w:p>
        </w:tc>
        <w:tc>
          <w:tcPr>
            <w:tcW w:type="dxa" w:w="2304"/>
          </w:tcPr>
          <w:p>
            <w:pPr>
              <w:jc w:val="right"/>
            </w:pPr>
            <w:r/>
            <w:r>
              <w:rPr>
                <w:rFonts w:ascii="Cambria" w:hAnsi="Cambria"/>
                <w:b w:val="0"/>
                <w:color w:val="1F1F1F"/>
                <w:sz w:val="20"/>
              </w:rPr>
              <w:t>103.8</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jun-26</w:t>
            </w:r>
          </w:p>
        </w:tc>
        <w:tc>
          <w:tcPr>
            <w:tcW w:type="dxa" w:w="2304"/>
          </w:tcPr>
          <w:p>
            <w:pPr>
              <w:jc w:val="right"/>
            </w:pPr>
            <w:r/>
            <w:r>
              <w:rPr>
                <w:rFonts w:ascii="Cambria" w:hAnsi="Cambria"/>
                <w:b w:val="0"/>
                <w:color w:val="1F1F1F"/>
                <w:sz w:val="20"/>
              </w:rPr>
              <w:t>111.3</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109.9</w:t>
            </w:r>
          </w:p>
        </w:tc>
      </w:tr>
      <w:tr>
        <w:trPr>
          <w:cantSplit/>
        </w:trPr>
        <w:tc>
          <w:tcPr>
            <w:tcW w:type="dxa" w:w="2304"/>
          </w:tcPr>
          <w:p>
            <w:r/>
            <w:r>
              <w:rPr>
                <w:rFonts w:ascii="Cambria" w:hAnsi="Cambria"/>
                <w:b w:val="0"/>
                <w:color w:val="1F1F1F"/>
                <w:sz w:val="20"/>
              </w:rPr>
              <w:t>jul-26</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104.3</w:t>
            </w:r>
          </w:p>
        </w:tc>
        <w:tc>
          <w:tcPr>
            <w:tcW w:type="dxa" w:w="2304"/>
          </w:tcPr>
          <w:p>
            <w:pPr>
              <w:jc w:val="right"/>
            </w:pPr>
            <w:r/>
            <w:r>
              <w:rPr>
                <w:rFonts w:ascii="Cambria" w:hAnsi="Cambria"/>
                <w:b w:val="0"/>
                <w:color w:val="1F1F1F"/>
                <w:sz w:val="20"/>
              </w:rPr>
              <w:t>112.4</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julio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