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Septiembre 2024</w:t>
      </w:r>
    </w:p>
    <w:p>
      <w:pPr>
        <w:pStyle w:val="Heading1"/>
      </w:pPr>
      <w:r>
        <w:rPr>
          <w:rFonts w:ascii="Calibri Light" w:hAnsi="Calibri Light"/>
          <w:b/>
          <w:color w:val="4F81BD"/>
          <w:sz w:val="32"/>
        </w:rPr>
        <w:t>Evolución general del IGAE</w:t>
      </w:r>
    </w:p>
    <w:p>
      <w:r>
        <w:rPr>
          <w:rFonts w:ascii="Cambria" w:hAnsi="Cambria"/>
          <w:b w:val="0"/>
          <w:color w:val="1F1F1F"/>
          <w:sz w:val="22"/>
        </w:rPr>
        <w:t>Durante septiembre de 2024, el IGAE General se ubicó en 102.5 puntos (base 2018=100). Esto representa una variación mensual de -2.9% respecto al mes inmediato anterior. En comparación con septiembre de 2023 (cuando el índice se ubicó en 102.6 puntos), esto representa una variación anual de -0.1%.</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9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septiembre de 2023 vs. septiembre de 2024</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sep-23</w:t>
            </w:r>
          </w:p>
        </w:tc>
        <w:tc>
          <w:tcPr>
            <w:tcW w:type="dxa" w:w="1872"/>
            <w:shd w:val="clear" w:color="auto" w:fill="D9E2F3"/>
          </w:tcPr>
          <w:p>
            <w:pPr>
              <w:jc w:val="right"/>
            </w:pPr>
            <w:r/>
            <w:r>
              <w:rPr>
                <w:rFonts w:ascii="Cambria" w:hAnsi="Cambria"/>
                <w:b/>
                <w:color w:val="1F1F1F"/>
                <w:sz w:val="20"/>
              </w:rPr>
              <w:t>sep-24</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102.6</w:t>
            </w:r>
          </w:p>
        </w:tc>
        <w:tc>
          <w:tcPr>
            <w:tcW w:type="dxa" w:w="1872"/>
          </w:tcPr>
          <w:p>
            <w:pPr>
              <w:jc w:val="right"/>
            </w:pPr>
            <w:r/>
            <w:r>
              <w:rPr>
                <w:rFonts w:ascii="Cambria" w:hAnsi="Cambria"/>
                <w:b w:val="0"/>
                <w:color w:val="1F1F1F"/>
                <w:sz w:val="20"/>
              </w:rPr>
              <w:t>102.5</w:t>
            </w:r>
          </w:p>
        </w:tc>
        <w:tc>
          <w:tcPr>
            <w:tcW w:type="dxa" w:w="1872"/>
          </w:tcPr>
          <w:p>
            <w:pPr>
              <w:jc w:val="right"/>
            </w:pPr>
            <w:r/>
            <w:r>
              <w:rPr>
                <w:rFonts w:ascii="Cambria" w:hAnsi="Cambria"/>
                <w:b/>
                <w:color w:val="C62828"/>
                <w:sz w:val="20"/>
              </w:rPr>
              <w:t>-0.1%</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oct-23</w:t>
            </w:r>
          </w:p>
        </w:tc>
        <w:tc>
          <w:tcPr>
            <w:tcW w:type="dxa" w:w="3168"/>
          </w:tcPr>
          <w:p>
            <w:pPr>
              <w:jc w:val="right"/>
            </w:pPr>
            <w:r/>
            <w:r>
              <w:rPr>
                <w:rFonts w:ascii="Cambria" w:hAnsi="Cambria"/>
                <w:b w:val="0"/>
                <w:color w:val="1F1F1F"/>
                <w:sz w:val="20"/>
              </w:rPr>
              <w:t>105.3</w:t>
            </w:r>
          </w:p>
        </w:tc>
        <w:tc>
          <w:tcPr>
            <w:tcW w:type="dxa" w:w="3024"/>
          </w:tcPr>
          <w:p>
            <w:pPr>
              <w:jc w:val="right"/>
            </w:pPr>
            <w:r/>
            <w:r>
              <w:rPr>
                <w:rFonts w:ascii="Cambria" w:hAnsi="Cambria"/>
                <w:b w:val="0"/>
                <w:color w:val="2E7D32"/>
                <w:sz w:val="20"/>
              </w:rPr>
              <w:t>+4.5%</w:t>
            </w:r>
          </w:p>
        </w:tc>
      </w:tr>
      <w:tr>
        <w:trPr>
          <w:cantSplit/>
        </w:trPr>
        <w:tc>
          <w:tcPr>
            <w:tcW w:type="dxa" w:w="3168"/>
          </w:tcPr>
          <w:p>
            <w:r/>
            <w:r>
              <w:rPr>
                <w:rFonts w:ascii="Cambria" w:hAnsi="Cambria"/>
                <w:b w:val="0"/>
                <w:color w:val="1F1F1F"/>
                <w:sz w:val="20"/>
              </w:rPr>
              <w:t>nov-23</w:t>
            </w:r>
          </w:p>
        </w:tc>
        <w:tc>
          <w:tcPr>
            <w:tcW w:type="dxa" w:w="3168"/>
          </w:tcPr>
          <w:p>
            <w:pPr>
              <w:jc w:val="right"/>
            </w:pPr>
            <w:r/>
            <w:r>
              <w:rPr>
                <w:rFonts w:ascii="Cambria" w:hAnsi="Cambria"/>
                <w:b w:val="0"/>
                <w:color w:val="1F1F1F"/>
                <w:sz w:val="20"/>
              </w:rPr>
              <w:t>107.7</w:t>
            </w:r>
          </w:p>
        </w:tc>
        <w:tc>
          <w:tcPr>
            <w:tcW w:type="dxa" w:w="3024"/>
          </w:tcPr>
          <w:p>
            <w:pPr>
              <w:jc w:val="right"/>
            </w:pPr>
            <w:r/>
            <w:r>
              <w:rPr>
                <w:rFonts w:ascii="Cambria" w:hAnsi="Cambria"/>
                <w:b w:val="0"/>
                <w:color w:val="2E7D32"/>
                <w:sz w:val="20"/>
              </w:rPr>
              <w:t>+1.8%</w:t>
            </w:r>
          </w:p>
        </w:tc>
      </w:tr>
      <w:tr>
        <w:trPr>
          <w:cantSplit/>
        </w:trPr>
        <w:tc>
          <w:tcPr>
            <w:tcW w:type="dxa" w:w="3168"/>
          </w:tcPr>
          <w:p>
            <w:r/>
            <w:r>
              <w:rPr>
                <w:rFonts w:ascii="Cambria" w:hAnsi="Cambria"/>
                <w:b w:val="0"/>
                <w:color w:val="1F1F1F"/>
                <w:sz w:val="20"/>
              </w:rPr>
              <w:t>dic-23</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ene-24</w:t>
            </w:r>
          </w:p>
        </w:tc>
        <w:tc>
          <w:tcPr>
            <w:tcW w:type="dxa" w:w="3168"/>
          </w:tcPr>
          <w:p>
            <w:pPr>
              <w:jc w:val="right"/>
            </w:pPr>
            <w:r/>
            <w:r>
              <w:rPr>
                <w:rFonts w:ascii="Cambria" w:hAnsi="Cambria"/>
                <w:b w:val="0"/>
                <w:color w:val="1F1F1F"/>
                <w:sz w:val="20"/>
              </w:rPr>
              <w:t>101.7</w:t>
            </w:r>
          </w:p>
        </w:tc>
        <w:tc>
          <w:tcPr>
            <w:tcW w:type="dxa" w:w="3024"/>
          </w:tcPr>
          <w:p>
            <w:pPr>
              <w:jc w:val="right"/>
            </w:pPr>
            <w:r/>
            <w:r>
              <w:rPr>
                <w:rFonts w:ascii="Cambria" w:hAnsi="Cambria"/>
                <w:b w:val="0"/>
                <w:color w:val="2E7D32"/>
                <w:sz w:val="20"/>
              </w:rPr>
              <w:t>+2.4%</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septiembre de 2024, la actividad económica con mayor nivel de índice fue Actividades terciarias con un valor de 103.9, seguida de Actividades secundarias con 101.8 y Actividades primarias con 85.6. En términos de crecimiento anual, Actividades primarias registró la mayor variación (+3.0%), seguida de Actividades terciarias (+0.4%) y Actividades secundarias (-1.1%). La siguiente tabla muestra el nivel del IGAE por actividad económica y su comparación contra septiembre de 2023.</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sep-23</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103.5</w:t>
            </w:r>
          </w:p>
        </w:tc>
        <w:tc>
          <w:tcPr>
            <w:tcW w:type="dxa" w:w="1296"/>
          </w:tcPr>
          <w:p>
            <w:pPr>
              <w:jc w:val="right"/>
            </w:pPr>
            <w:r/>
            <w:r>
              <w:rPr>
                <w:rFonts w:ascii="Cambria" w:hAnsi="Cambria"/>
                <w:b w:val="0"/>
                <w:color w:val="1F1F1F"/>
                <w:sz w:val="20"/>
              </w:rPr>
              <w:t>103.9</w:t>
            </w:r>
          </w:p>
        </w:tc>
        <w:tc>
          <w:tcPr>
            <w:tcW w:type="dxa" w:w="1296"/>
          </w:tcPr>
          <w:p>
            <w:pPr>
              <w:jc w:val="right"/>
            </w:pPr>
            <w:r/>
            <w:r>
              <w:rPr>
                <w:rFonts w:ascii="Cambria" w:hAnsi="Cambria"/>
                <w:b w:val="0"/>
                <w:color w:val="2E7D32"/>
                <w:sz w:val="20"/>
              </w:rPr>
              <w:t>+0.4%</w:t>
            </w:r>
          </w:p>
        </w:tc>
        <w:tc>
          <w:tcPr>
            <w:tcW w:type="dxa" w:w="1584"/>
          </w:tcPr>
          <w:p>
            <w:pPr>
              <w:jc w:val="right"/>
            </w:pPr>
            <w:r/>
            <w:r>
              <w:rPr>
                <w:rFonts w:ascii="Cambria" w:hAnsi="Cambria"/>
                <w:b w:val="0"/>
                <w:color w:val="2E7D32"/>
                <w:sz w:val="20"/>
              </w:rPr>
              <w:t>+2.8%</w:t>
            </w:r>
          </w:p>
        </w:tc>
        <w:tc>
          <w:tcPr>
            <w:tcW w:type="dxa" w:w="1440"/>
          </w:tcPr>
          <w:p>
            <w:pPr>
              <w:jc w:val="right"/>
            </w:pPr>
            <w:r/>
            <w:r>
              <w:rPr>
                <w:rFonts w:ascii="Cambria" w:hAnsi="Cambria"/>
                <w:b w:val="0"/>
                <w:color w:val="1F1F1F"/>
                <w:sz w:val="20"/>
              </w:rPr>
              <w:t>0.24</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103.0</w:t>
            </w:r>
          </w:p>
        </w:tc>
        <w:tc>
          <w:tcPr>
            <w:tcW w:type="dxa" w:w="1296"/>
          </w:tcPr>
          <w:p>
            <w:pPr>
              <w:jc w:val="right"/>
            </w:pPr>
            <w:r/>
            <w:r>
              <w:rPr>
                <w:rFonts w:ascii="Cambria" w:hAnsi="Cambria"/>
                <w:b w:val="0"/>
                <w:color w:val="1F1F1F"/>
                <w:sz w:val="20"/>
              </w:rPr>
              <w:t>101.8</w:t>
            </w:r>
          </w:p>
        </w:tc>
        <w:tc>
          <w:tcPr>
            <w:tcW w:type="dxa" w:w="1296"/>
          </w:tcPr>
          <w:p>
            <w:pPr>
              <w:jc w:val="right"/>
            </w:pPr>
            <w:r/>
            <w:r>
              <w:rPr>
                <w:rFonts w:ascii="Cambria" w:hAnsi="Cambria"/>
                <w:b w:val="0"/>
                <w:color w:val="C62828"/>
                <w:sz w:val="20"/>
              </w:rPr>
              <w:t>-1.1%</w:t>
            </w:r>
          </w:p>
        </w:tc>
        <w:tc>
          <w:tcPr>
            <w:tcW w:type="dxa" w:w="1584"/>
          </w:tcPr>
          <w:p>
            <w:pPr>
              <w:jc w:val="right"/>
            </w:pPr>
            <w:r/>
            <w:r>
              <w:rPr>
                <w:rFonts w:ascii="Cambria" w:hAnsi="Cambria"/>
                <w:b w:val="0"/>
                <w:color w:val="1F1F1F"/>
                <w:sz w:val="20"/>
              </w:rPr>
              <w:t>0.0%</w:t>
            </w:r>
          </w:p>
        </w:tc>
        <w:tc>
          <w:tcPr>
            <w:tcW w:type="dxa" w:w="1440"/>
          </w:tcPr>
          <w:p>
            <w:pPr>
              <w:jc w:val="right"/>
            </w:pPr>
            <w:r/>
            <w:r>
              <w:rPr>
                <w:rFonts w:ascii="Cambria" w:hAnsi="Cambria"/>
                <w:b w:val="0"/>
                <w:color w:val="1F1F1F"/>
                <w:sz w:val="20"/>
              </w:rPr>
              <w:t>-0.40</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83.1</w:t>
            </w:r>
          </w:p>
        </w:tc>
        <w:tc>
          <w:tcPr>
            <w:tcW w:type="dxa" w:w="1296"/>
          </w:tcPr>
          <w:p>
            <w:pPr>
              <w:jc w:val="right"/>
            </w:pPr>
            <w:r/>
            <w:r>
              <w:rPr>
                <w:rFonts w:ascii="Cambria" w:hAnsi="Cambria"/>
                <w:b w:val="0"/>
                <w:color w:val="1F1F1F"/>
                <w:sz w:val="20"/>
              </w:rPr>
              <w:t>85.6</w:t>
            </w:r>
          </w:p>
        </w:tc>
        <w:tc>
          <w:tcPr>
            <w:tcW w:type="dxa" w:w="1296"/>
          </w:tcPr>
          <w:p>
            <w:pPr>
              <w:jc w:val="right"/>
            </w:pPr>
            <w:r/>
            <w:r>
              <w:rPr>
                <w:rFonts w:ascii="Cambria" w:hAnsi="Cambria"/>
                <w:b w:val="0"/>
                <w:color w:val="2E7D32"/>
                <w:sz w:val="20"/>
              </w:rPr>
              <w:t>+3.0%</w:t>
            </w:r>
          </w:p>
        </w:tc>
        <w:tc>
          <w:tcPr>
            <w:tcW w:type="dxa" w:w="1584"/>
          </w:tcPr>
          <w:p>
            <w:pPr>
              <w:jc w:val="right"/>
            </w:pPr>
            <w:r/>
            <w:r>
              <w:rPr>
                <w:rFonts w:ascii="Cambria" w:hAnsi="Cambria"/>
                <w:b w:val="0"/>
                <w:color w:val="2E7D32"/>
                <w:sz w:val="20"/>
              </w:rPr>
              <w:t>+2.1%</w:t>
            </w:r>
          </w:p>
        </w:tc>
        <w:tc>
          <w:tcPr>
            <w:tcW w:type="dxa" w:w="1440"/>
          </w:tcPr>
          <w:p>
            <w:pPr>
              <w:jc w:val="right"/>
            </w:pPr>
            <w:r/>
            <w:r>
              <w:rPr>
                <w:rFonts w:ascii="Cambria" w:hAnsi="Cambria"/>
                <w:b w:val="0"/>
                <w:color w:val="1F1F1F"/>
                <w:sz w:val="20"/>
              </w:rPr>
              <w:t>0.08</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septiembre de 2024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(-0.1%). Comercio al por menor fue el subsector que más aportó (0.40 pp), mientras que Comercio al por mayor fue el que más restó (-0.73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+3.0%</w:t>
            </w:r>
          </w:p>
        </w:tc>
        <w:tc>
          <w:tcPr>
            <w:tcW w:type="dxa" w:w="1728"/>
            <w:shd w:val="clear" w:color="auto" w:fill="EAF1FB"/>
          </w:tcPr>
          <w:p>
            <w:pPr>
              <w:jc w:val="right"/>
            </w:pPr>
            <w:r/>
            <w:r>
              <w:rPr>
                <w:rFonts w:ascii="Cambria" w:hAnsi="Cambria"/>
                <w:b/>
                <w:color w:val="2E7D32"/>
                <w:sz w:val="20"/>
              </w:rPr>
              <w:t>+2.1%</w:t>
            </w:r>
          </w:p>
        </w:tc>
        <w:tc>
          <w:tcPr>
            <w:tcW w:type="dxa" w:w="1512"/>
            <w:shd w:val="clear" w:color="auto" w:fill="EAF1FB"/>
          </w:tcPr>
          <w:p>
            <w:pPr>
              <w:jc w:val="right"/>
            </w:pPr>
            <w:r/>
            <w:r>
              <w:rPr>
                <w:rFonts w:ascii="Cambria" w:hAnsi="Cambria"/>
                <w:b/>
                <w:color w:val="2E7D32"/>
                <w:sz w:val="20"/>
              </w:rPr>
              <w:t>0.08</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-1.1%</w:t>
            </w:r>
          </w:p>
        </w:tc>
        <w:tc>
          <w:tcPr>
            <w:tcW w:type="dxa" w:w="1728"/>
            <w:shd w:val="clear" w:color="auto" w:fill="EAF1FB"/>
          </w:tcPr>
          <w:p>
            <w:pPr>
              <w:jc w:val="right"/>
            </w:pPr>
            <w:r/>
            <w:r>
              <w:rPr>
                <w:rFonts w:ascii="Cambria" w:hAnsi="Cambria"/>
                <w:b/>
                <w:color w:val="1F1F1F"/>
                <w:sz w:val="20"/>
              </w:rPr>
              <w:t>0.0%</w:t>
            </w:r>
          </w:p>
        </w:tc>
        <w:tc>
          <w:tcPr>
            <w:tcW w:type="dxa" w:w="1512"/>
            <w:shd w:val="clear" w:color="auto" w:fill="EAF1FB"/>
          </w:tcPr>
          <w:p>
            <w:pPr>
              <w:jc w:val="right"/>
            </w:pPr>
            <w:r/>
            <w:r>
              <w:rPr>
                <w:rFonts w:ascii="Cambria" w:hAnsi="Cambria"/>
                <w:b/>
                <w:color w:val="C62828"/>
                <w:sz w:val="20"/>
              </w:rPr>
              <w:t>-0.40</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-8.0%</w:t>
            </w:r>
          </w:p>
        </w:tc>
        <w:tc>
          <w:tcPr>
            <w:tcW w:type="dxa" w:w="1728"/>
          </w:tcPr>
          <w:p>
            <w:pPr>
              <w:jc w:val="right"/>
            </w:pPr>
            <w:r/>
            <w:r>
              <w:rPr>
                <w:rFonts w:ascii="Cambria" w:hAnsi="Cambria"/>
                <w:b w:val="0"/>
                <w:color w:val="C62828"/>
                <w:sz w:val="20"/>
              </w:rPr>
              <w:t>-6.6%</w:t>
            </w:r>
          </w:p>
        </w:tc>
        <w:tc>
          <w:tcPr>
            <w:tcW w:type="dxa" w:w="1512"/>
          </w:tcPr>
          <w:p>
            <w:pPr>
              <w:jc w:val="right"/>
            </w:pPr>
            <w:r/>
            <w:r>
              <w:rPr>
                <w:rFonts w:ascii="Cambria" w:hAnsi="Cambria"/>
                <w:b w:val="0"/>
                <w:color w:val="C62828"/>
                <w:sz w:val="20"/>
              </w:rPr>
              <w:t>-0.33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-2.4%</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-0.6%</w:t>
            </w:r>
          </w:p>
        </w:tc>
        <w:tc>
          <w:tcPr>
            <w:tcW w:type="dxa" w:w="1728"/>
          </w:tcPr>
          <w:p>
            <w:pPr>
              <w:jc w:val="right"/>
            </w:pPr>
            <w:r/>
            <w:r>
              <w:rPr>
                <w:rFonts w:ascii="Cambria" w:hAnsi="Cambria"/>
                <w:b w:val="0"/>
                <w:color w:val="2E7D32"/>
                <w:sz w:val="20"/>
              </w:rPr>
              <w:t>+6.6%</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1F1F1F"/>
                <w:sz w:val="20"/>
              </w:rPr>
              <w:t>0.0%</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2E7D32"/>
                <w:sz w:val="20"/>
              </w:rPr>
              <w:t>0.01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+0.4%</w:t>
            </w:r>
          </w:p>
        </w:tc>
        <w:tc>
          <w:tcPr>
            <w:tcW w:type="dxa" w:w="1728"/>
            <w:shd w:val="clear" w:color="auto" w:fill="EAF1FB"/>
          </w:tcPr>
          <w:p>
            <w:pPr>
              <w:jc w:val="right"/>
            </w:pPr>
            <w:r/>
            <w:r>
              <w:rPr>
                <w:rFonts w:ascii="Cambria" w:hAnsi="Cambria"/>
                <w:b/>
                <w:color w:val="2E7D32"/>
                <w:sz w:val="20"/>
              </w:rPr>
              <w:t>+2.8%</w:t>
            </w:r>
          </w:p>
        </w:tc>
        <w:tc>
          <w:tcPr>
            <w:tcW w:type="dxa" w:w="1512"/>
            <w:shd w:val="clear" w:color="auto" w:fill="EAF1FB"/>
          </w:tcPr>
          <w:p>
            <w:pPr>
              <w:jc w:val="right"/>
            </w:pPr>
            <w:r/>
            <w:r>
              <w:rPr>
                <w:rFonts w:ascii="Cambria" w:hAnsi="Cambria"/>
                <w:b/>
                <w:color w:val="2E7D32"/>
                <w:sz w:val="20"/>
              </w:rPr>
              <w:t>0.24</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-6.5%</w:t>
            </w:r>
          </w:p>
        </w:tc>
        <w:tc>
          <w:tcPr>
            <w:tcW w:type="dxa" w:w="1728"/>
          </w:tcPr>
          <w:p>
            <w:pPr>
              <w:jc w:val="right"/>
            </w:pPr>
            <w:r/>
            <w:r>
              <w:rPr>
                <w:rFonts w:ascii="Cambria" w:hAnsi="Cambria"/>
                <w:b w:val="0"/>
                <w:color w:val="2E7D32"/>
                <w:sz w:val="20"/>
              </w:rPr>
              <w:t>+2.9%</w:t>
            </w:r>
          </w:p>
        </w:tc>
        <w:tc>
          <w:tcPr>
            <w:tcW w:type="dxa" w:w="1512"/>
          </w:tcPr>
          <w:p>
            <w:pPr>
              <w:jc w:val="right"/>
            </w:pPr>
            <w:r/>
            <w:r>
              <w:rPr>
                <w:rFonts w:ascii="Cambria" w:hAnsi="Cambria"/>
                <w:b w:val="0"/>
                <w:color w:val="C62828"/>
                <w:sz w:val="20"/>
              </w:rPr>
              <w:t>-0.73</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+3.8%</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0.40</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2E7D32"/>
                <w:sz w:val="20"/>
              </w:rPr>
              <w:t>+4.6%</w:t>
            </w:r>
          </w:p>
        </w:tc>
        <w:tc>
          <w:tcPr>
            <w:tcW w:type="dxa" w:w="1512"/>
          </w:tcPr>
          <w:p>
            <w:pPr>
              <w:jc w:val="right"/>
            </w:pPr>
            <w:r/>
            <w:r>
              <w:rPr>
                <w:rFonts w:ascii="Cambria" w:hAnsi="Cambria"/>
                <w:b w:val="0"/>
                <w:color w:val="2E7D32"/>
                <w:sz w:val="20"/>
              </w:rPr>
              <w:t>0.20</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+0.5%</w:t>
            </w:r>
          </w:p>
        </w:tc>
        <w:tc>
          <w:tcPr>
            <w:tcW w:type="dxa" w:w="1728"/>
          </w:tcPr>
          <w:p>
            <w:pPr>
              <w:jc w:val="right"/>
            </w:pPr>
            <w:r/>
            <w:r>
              <w:rPr>
                <w:rFonts w:ascii="Cambria" w:hAnsi="Cambria"/>
                <w:b w:val="0"/>
                <w:color w:val="2E7D32"/>
                <w:sz w:val="20"/>
              </w:rPr>
              <w:t>+3.2%</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+3.0%</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+17.1%</w:t>
            </w:r>
          </w:p>
        </w:tc>
        <w:tc>
          <w:tcPr>
            <w:tcW w:type="dxa" w:w="1728"/>
          </w:tcPr>
          <w:p>
            <w:pPr>
              <w:jc w:val="right"/>
            </w:pPr>
            <w:r/>
            <w:r>
              <w:rPr>
                <w:rFonts w:ascii="Cambria" w:hAnsi="Cambria"/>
                <w:b w:val="0"/>
                <w:color w:val="2E7D32"/>
                <w:sz w:val="20"/>
              </w:rPr>
              <w:t>+17.4%</w:t>
            </w:r>
          </w:p>
        </w:tc>
        <w:tc>
          <w:tcPr>
            <w:tcW w:type="dxa" w:w="1512"/>
          </w:tcPr>
          <w:p>
            <w:pPr>
              <w:jc w:val="right"/>
            </w:pPr>
            <w:r/>
            <w:r>
              <w:rPr>
                <w:rFonts w:ascii="Cambria" w:hAnsi="Cambria"/>
                <w:b w:val="0"/>
                <w:color w:val="2E7D32"/>
                <w:sz w:val="20"/>
              </w:rPr>
              <w:t>0.35</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-4.5%</w:t>
            </w:r>
          </w:p>
        </w:tc>
        <w:tc>
          <w:tcPr>
            <w:tcW w:type="dxa" w:w="1728"/>
          </w:tcPr>
          <w:p>
            <w:pPr>
              <w:jc w:val="right"/>
            </w:pPr>
            <w:r/>
            <w:r>
              <w:rPr>
                <w:rFonts w:ascii="Cambria" w:hAnsi="Cambria"/>
                <w:b w:val="0"/>
                <w:color w:val="C62828"/>
                <w:sz w:val="20"/>
              </w:rPr>
              <w:t>-5.6%</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+0.2%</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+3.5%</w:t>
            </w:r>
          </w:p>
        </w:tc>
        <w:tc>
          <w:tcPr>
            <w:tcW w:type="dxa" w:w="1728"/>
          </w:tcPr>
          <w:p>
            <w:pPr>
              <w:jc w:val="right"/>
            </w:pPr>
            <w:r/>
            <w:r>
              <w:rPr>
                <w:rFonts w:ascii="Cambria" w:hAnsi="Cambria"/>
                <w:b w:val="0"/>
                <w:color w:val="2E7D32"/>
                <w:sz w:val="20"/>
              </w:rPr>
              <w:t>+2.0%</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-1.0%</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-0.8%</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2E7D32"/>
                <w:sz w:val="20"/>
              </w:rPr>
              <w:t>+2.2%</w:t>
            </w:r>
          </w:p>
        </w:tc>
        <w:tc>
          <w:tcPr>
            <w:tcW w:type="dxa" w:w="1512"/>
          </w:tcPr>
          <w:p>
            <w:pPr>
              <w:jc w:val="right"/>
            </w:pPr>
            <w:r/>
            <w:r>
              <w:rPr>
                <w:rFonts w:ascii="Cambria" w:hAnsi="Cambria"/>
                <w:b w:val="0"/>
                <w:color w:val="1F1F1F"/>
                <w:sz w:val="20"/>
              </w:rPr>
              <w:t>-0.00</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oct-23</w:t>
            </w:r>
          </w:p>
        </w:tc>
        <w:tc>
          <w:tcPr>
            <w:tcW w:type="dxa" w:w="2304"/>
          </w:tcPr>
          <w:p>
            <w:pPr>
              <w:jc w:val="right"/>
            </w:pPr>
            <w:r/>
            <w:r>
              <w:rPr>
                <w:rFonts w:ascii="Cambria" w:hAnsi="Cambria"/>
                <w:b w:val="0"/>
                <w:color w:val="1F1F1F"/>
                <w:sz w:val="20"/>
              </w:rPr>
              <w:t>93.7</w:t>
            </w:r>
          </w:p>
        </w:tc>
        <w:tc>
          <w:tcPr>
            <w:tcW w:type="dxa" w:w="2304"/>
          </w:tcPr>
          <w:p>
            <w:pPr>
              <w:jc w:val="right"/>
            </w:pPr>
            <w:r/>
            <w:r>
              <w:rPr>
                <w:rFonts w:ascii="Cambria" w:hAnsi="Cambria"/>
                <w:b w:val="0"/>
                <w:color w:val="1F1F1F"/>
                <w:sz w:val="20"/>
              </w:rPr>
              <w:t>107.4</w:t>
            </w:r>
          </w:p>
        </w:tc>
        <w:tc>
          <w:tcPr>
            <w:tcW w:type="dxa" w:w="2304"/>
          </w:tcPr>
          <w:p>
            <w:pPr>
              <w:jc w:val="right"/>
            </w:pPr>
            <w:r/>
            <w:r>
              <w:rPr>
                <w:rFonts w:ascii="Cambria" w:hAnsi="Cambria"/>
                <w:b w:val="0"/>
                <w:color w:val="1F1F1F"/>
                <w:sz w:val="20"/>
              </w:rPr>
              <w:t>104.8</w:t>
            </w:r>
          </w:p>
        </w:tc>
      </w:tr>
      <w:tr>
        <w:trPr>
          <w:cantSplit/>
        </w:trPr>
        <w:tc>
          <w:tcPr>
            <w:tcW w:type="dxa" w:w="2304"/>
          </w:tcPr>
          <w:p>
            <w:r/>
            <w:r>
              <w:rPr>
                <w:rFonts w:ascii="Cambria" w:hAnsi="Cambria"/>
                <w:b w:val="0"/>
                <w:color w:val="1F1F1F"/>
                <w:sz w:val="20"/>
              </w:rPr>
              <w:t>nov-23</w:t>
            </w:r>
          </w:p>
        </w:tc>
        <w:tc>
          <w:tcPr>
            <w:tcW w:type="dxa" w:w="2304"/>
          </w:tcPr>
          <w:p>
            <w:pPr>
              <w:jc w:val="right"/>
            </w:pPr>
            <w:r/>
            <w:r>
              <w:rPr>
                <w:rFonts w:ascii="Cambria" w:hAnsi="Cambria"/>
                <w:b w:val="0"/>
                <w:color w:val="1F1F1F"/>
                <w:sz w:val="20"/>
              </w:rPr>
              <w:t>126.7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108.7</w:t>
            </w:r>
          </w:p>
        </w:tc>
      </w:tr>
      <w:tr>
        <w:trPr>
          <w:cantSplit/>
        </w:trPr>
        <w:tc>
          <w:tcPr>
            <w:tcW w:type="dxa" w:w="2304"/>
          </w:tcPr>
          <w:p>
            <w:r/>
            <w:r>
              <w:rPr>
                <w:rFonts w:ascii="Cambria" w:hAnsi="Cambria"/>
                <w:b w:val="0"/>
                <w:color w:val="1F1F1F"/>
                <w:sz w:val="20"/>
              </w:rPr>
              <w:t>dic-23</w:t>
            </w:r>
          </w:p>
        </w:tc>
        <w:tc>
          <w:tcPr>
            <w:tcW w:type="dxa" w:w="2304"/>
          </w:tcPr>
          <w:p>
            <w:pPr>
              <w:jc w:val="right"/>
            </w:pPr>
            <w:r/>
            <w:r>
              <w:rPr>
                <w:rFonts w:ascii="Cambria" w:hAnsi="Cambria"/>
                <w:b w:val="0"/>
                <w:color w:val="1F1F1F"/>
                <w:sz w:val="20"/>
              </w:rPr>
              <w:t>140.0</w:t>
            </w:r>
          </w:p>
        </w:tc>
        <w:tc>
          <w:tcPr>
            <w:tcW w:type="dxa" w:w="2304"/>
          </w:tcPr>
          <w:p>
            <w:pPr>
              <w:jc w:val="right"/>
            </w:pPr>
            <w:r/>
            <w:r>
              <w:rPr>
                <w:rFonts w:ascii="Cambria" w:hAnsi="Cambria"/>
                <w:b w:val="0"/>
                <w:color w:val="1F1F1F"/>
                <w:sz w:val="20"/>
              </w:rPr>
              <w:t>99.2</w:t>
            </w:r>
          </w:p>
        </w:tc>
        <w:tc>
          <w:tcPr>
            <w:tcW w:type="dxa" w:w="2304"/>
          </w:tcPr>
          <w:p>
            <w:pPr>
              <w:jc w:val="right"/>
            </w:pPr>
            <w:r/>
            <w:r>
              <w:rPr>
                <w:rFonts w:ascii="Cambria" w:hAnsi="Cambria"/>
                <w:b w:val="0"/>
                <w:color w:val="1F1F1F"/>
                <w:sz w:val="20"/>
              </w:rPr>
              <w:t>105.6</w:t>
            </w:r>
          </w:p>
        </w:tc>
      </w:tr>
      <w:tr>
        <w:trPr>
          <w:cantSplit/>
        </w:trPr>
        <w:tc>
          <w:tcPr>
            <w:tcW w:type="dxa" w:w="2304"/>
          </w:tcPr>
          <w:p>
            <w:r/>
            <w:r>
              <w:rPr>
                <w:rFonts w:ascii="Cambria" w:hAnsi="Cambria"/>
                <w:b w:val="0"/>
                <w:color w:val="1F1F1F"/>
                <w:sz w:val="20"/>
              </w:rPr>
              <w:t>ene-24</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102.1</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septiembre de 2024,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