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Light" w:hAnsi="Calibri Light"/>
          <w:b/>
          <w:color w:val="4F81BD"/>
          <w:sz w:val="44"/>
        </w:rPr>
        <w:t>Índice Global de la Actividad Económica (IGAE)</w:t>
      </w:r>
    </w:p>
    <w:p>
      <w:pPr>
        <w:jc w:val="center"/>
      </w:pPr>
      <w:r>
        <w:rPr>
          <w:rFonts w:ascii="Calibri Light" w:hAnsi="Calibri Light"/>
          <w:b w:val="0"/>
          <w:color w:val="1F1F1F"/>
          <w:sz w:val="22"/>
        </w:rPr>
        <w:t>Diego Canales Morales</w:t>
      </w:r>
    </w:p>
    <w:p>
      <w:pPr>
        <w:jc w:val="center"/>
      </w:pPr>
      <w:r>
        <w:rPr>
          <w:rFonts w:ascii="Calibri Light" w:hAnsi="Calibri Light"/>
          <w:b w:val="0"/>
          <w:color w:val="1F1F1F"/>
          <w:sz w:val="22"/>
        </w:rPr>
        <w:t>Enero 2025</w:t>
      </w:r>
    </w:p>
    <w:p>
      <w:pPr>
        <w:pStyle w:val="Heading1"/>
      </w:pPr>
      <w:r>
        <w:rPr>
          <w:rFonts w:ascii="Calibri Light" w:hAnsi="Calibri Light"/>
          <w:b/>
          <w:color w:val="4F81BD"/>
          <w:sz w:val="32"/>
        </w:rPr>
        <w:t>Evolución general del IGAE</w:t>
      </w:r>
    </w:p>
    <w:p>
      <w:r>
        <w:rPr>
          <w:rFonts w:ascii="Cambria" w:hAnsi="Cambria"/>
          <w:b w:val="0"/>
          <w:color w:val="1F1F1F"/>
          <w:sz w:val="22"/>
        </w:rPr>
        <w:t>Durante enero de 2025, el IGAE General se ubicó en 101.3 puntos (base 2018=100). Esto representa una variación mensual de -2.5% respecto al mes inmediato anterior. En comparación con enero de 2024 (cuando el índice se ubicó en 101.7 puntos), esto representa una variación anual de -0.4%.</w:t>
      </w:r>
    </w:p>
    <w:p>
      <w:pPr>
        <w:pStyle w:val="Heading1"/>
      </w:pPr>
      <w:r>
        <w:rPr>
          <w:rFonts w:ascii="Calibri Light" w:hAnsi="Calibri Light"/>
          <w:b/>
          <w:color w:val="4F81BD"/>
          <w:sz w:val="32"/>
        </w:rPr>
        <w:t>Evolución histórica del IGAE General</w:t>
      </w:r>
    </w:p>
    <w:p>
      <w:r>
        <w:rPr>
          <w:rFonts w:ascii="Cambria" w:hAnsi="Cambria"/>
          <w:b w:val="0"/>
          <w:color w:val="1F1F1F"/>
          <w:sz w:val="22"/>
        </w:rPr>
        <w:t>La siguiente tabla resume el comparativo anual del índice general y su tendencia en los últimos 12 meses. En 7 de los últimos 12 meses el índice registró una variación anual positiva. El máximo histórico del índice se registró en mayo de 2026 (108.5 puntos). A largo plazo, el indicador mantiene una tendencia creciente desde 1993, con caídas puntuales asociadas a crisis económicas (la más pronunciada, la de 2020 por la pandemia de COVID-19).</w:t>
      </w:r>
    </w:p>
    <w:p>
      <w:r>
        <w:rPr>
          <w:rFonts w:ascii="Cambria" w:hAnsi="Cambria"/>
          <w:b/>
          <w:color w:val="1F1F1F"/>
          <w:sz w:val="22"/>
        </w:rPr>
        <w:t>Comparativo anual — enero de 2024 vs. enero de 2025</w:t>
      </w:r>
    </w:p>
    <w:tbl>
      <w:tblPr>
        <w:tblStyle w:val="TableGrid"/>
        <w:tblW w:type="auto" w:w="0"/>
        <w:jc w:val="left"/>
        <w:tblLayout w:type="fixed"/>
        <w:tblLook w:firstColumn="1" w:firstRow="1" w:lastColumn="0" w:lastRow="0" w:noHBand="0" w:noVBand="1" w:val="04A0"/>
      </w:tblPr>
      <w:tblGrid>
        <w:gridCol w:w="3744"/>
        <w:gridCol w:w="1872"/>
        <w:gridCol w:w="1872"/>
        <w:gridCol w:w="1872"/>
      </w:tblGrid>
      <w:tr>
        <w:trPr>
          <w:tblHeader/>
          <w:cantSplit/>
        </w:trPr>
        <w:tc>
          <w:tcPr>
            <w:tcW w:type="dxa" w:w="3744"/>
            <w:shd w:val="clear" w:color="auto" w:fill="D9E2F3"/>
          </w:tcPr>
          <w:p>
            <w:r/>
            <w:r>
              <w:rPr>
                <w:rFonts w:ascii="Cambria" w:hAnsi="Cambria"/>
                <w:b/>
                <w:color w:val="1F1F1F"/>
                <w:sz w:val="20"/>
              </w:rPr>
              <w:t>Indicador</w:t>
            </w:r>
          </w:p>
        </w:tc>
        <w:tc>
          <w:tcPr>
            <w:tcW w:type="dxa" w:w="1872"/>
            <w:shd w:val="clear" w:color="auto" w:fill="D9E2F3"/>
          </w:tcPr>
          <w:p>
            <w:pPr>
              <w:jc w:val="right"/>
            </w:pPr>
            <w:r/>
            <w:r>
              <w:rPr>
                <w:rFonts w:ascii="Cambria" w:hAnsi="Cambria"/>
                <w:b/>
                <w:color w:val="1F1F1F"/>
                <w:sz w:val="20"/>
              </w:rPr>
              <w:t>ene-24</w:t>
            </w:r>
          </w:p>
        </w:tc>
        <w:tc>
          <w:tcPr>
            <w:tcW w:type="dxa" w:w="1872"/>
            <w:shd w:val="clear" w:color="auto" w:fill="D9E2F3"/>
          </w:tcPr>
          <w:p>
            <w:pPr>
              <w:jc w:val="right"/>
            </w:pPr>
            <w:r/>
            <w:r>
              <w:rPr>
                <w:rFonts w:ascii="Cambria" w:hAnsi="Cambria"/>
                <w:b/>
                <w:color w:val="1F1F1F"/>
                <w:sz w:val="20"/>
              </w:rPr>
              <w:t>ene-25</w:t>
            </w:r>
          </w:p>
        </w:tc>
        <w:tc>
          <w:tcPr>
            <w:tcW w:type="dxa" w:w="1872"/>
            <w:shd w:val="clear" w:color="auto" w:fill="D9E2F3"/>
          </w:tcPr>
          <w:p>
            <w:pPr>
              <w:jc w:val="right"/>
            </w:pPr>
            <w:r/>
            <w:r>
              <w:rPr>
                <w:rFonts w:ascii="Cambria" w:hAnsi="Cambria"/>
                <w:b/>
                <w:color w:val="1F1F1F"/>
                <w:sz w:val="20"/>
              </w:rPr>
              <w:t>Variación</w:t>
            </w:r>
          </w:p>
        </w:tc>
      </w:tr>
      <w:tr>
        <w:trPr>
          <w:cantSplit/>
        </w:trPr>
        <w:tc>
          <w:tcPr>
            <w:tcW w:type="dxa" w:w="3744"/>
          </w:tcPr>
          <w:p>
            <w:r/>
            <w:r>
              <w:rPr>
                <w:rFonts w:ascii="Cambria" w:hAnsi="Cambria"/>
                <w:b w:val="0"/>
                <w:color w:val="1F1F1F"/>
                <w:sz w:val="20"/>
              </w:rPr>
              <w:t>Nivel del índice</w:t>
            </w:r>
          </w:p>
        </w:tc>
        <w:tc>
          <w:tcPr>
            <w:tcW w:type="dxa" w:w="1872"/>
          </w:tcPr>
          <w:p>
            <w:pPr>
              <w:jc w:val="right"/>
            </w:pPr>
            <w:r/>
            <w:r>
              <w:rPr>
                <w:rFonts w:ascii="Cambria" w:hAnsi="Cambria"/>
                <w:b w:val="0"/>
                <w:color w:val="1F1F1F"/>
                <w:sz w:val="20"/>
              </w:rPr>
              <w:t>101.7</w:t>
            </w:r>
          </w:p>
        </w:tc>
        <w:tc>
          <w:tcPr>
            <w:tcW w:type="dxa" w:w="1872"/>
          </w:tcPr>
          <w:p>
            <w:pPr>
              <w:jc w:val="right"/>
            </w:pPr>
            <w:r/>
            <w:r>
              <w:rPr>
                <w:rFonts w:ascii="Cambria" w:hAnsi="Cambria"/>
                <w:b w:val="0"/>
                <w:color w:val="1F1F1F"/>
                <w:sz w:val="20"/>
              </w:rPr>
              <w:t>101.3</w:t>
            </w:r>
          </w:p>
        </w:tc>
        <w:tc>
          <w:tcPr>
            <w:tcW w:type="dxa" w:w="1872"/>
          </w:tcPr>
          <w:p>
            <w:pPr>
              <w:jc w:val="right"/>
            </w:pPr>
            <w:r/>
            <w:r>
              <w:rPr>
                <w:rFonts w:ascii="Cambria" w:hAnsi="Cambria"/>
                <w:b/>
                <w:color w:val="C62828"/>
                <w:sz w:val="20"/>
              </w:rPr>
              <w:t>-0.4%</w:t>
            </w:r>
          </w:p>
        </w:tc>
      </w:tr>
    </w:tbl>
    <w:p/>
    <w:p>
      <w:r>
        <w:rPr>
          <w:rFonts w:ascii="Cambria" w:hAnsi="Cambria"/>
          <w:b/>
          <w:color w:val="1F1F1F"/>
          <w:sz w:val="22"/>
        </w:rPr>
        <w:t>Nivel mensual (últimos 12 meses)</w:t>
      </w:r>
    </w:p>
    <w:tbl>
      <w:tblPr>
        <w:tblStyle w:val="TableGrid"/>
        <w:tblW w:type="auto" w:w="0"/>
        <w:jc w:val="left"/>
        <w:tblLayout w:type="fixed"/>
        <w:tblLook w:firstColumn="1" w:firstRow="1" w:lastColumn="0" w:lastRow="0" w:noHBand="0" w:noVBand="1" w:val="04A0"/>
      </w:tblPr>
      <w:tblGrid>
        <w:gridCol w:w="3168"/>
        <w:gridCol w:w="3168"/>
        <w:gridCol w:w="3024"/>
      </w:tblGrid>
      <w:tr>
        <w:trPr>
          <w:tblHeader/>
          <w:cantSplit/>
        </w:trPr>
        <w:tc>
          <w:tcPr>
            <w:tcW w:type="dxa" w:w="3168"/>
            <w:shd w:val="clear" w:color="auto" w:fill="D9E2F3"/>
          </w:tcPr>
          <w:p>
            <w:r/>
            <w:r>
              <w:rPr>
                <w:rFonts w:ascii="Cambria" w:hAnsi="Cambria"/>
                <w:b/>
                <w:color w:val="1F1F1F"/>
                <w:sz w:val="20"/>
              </w:rPr>
              <w:t>Periodo</w:t>
            </w:r>
          </w:p>
        </w:tc>
        <w:tc>
          <w:tcPr>
            <w:tcW w:type="dxa" w:w="3168"/>
            <w:shd w:val="clear" w:color="auto" w:fill="D9E2F3"/>
          </w:tcPr>
          <w:p>
            <w:pPr>
              <w:jc w:val="right"/>
            </w:pPr>
            <w:r/>
            <w:r>
              <w:rPr>
                <w:rFonts w:ascii="Cambria" w:hAnsi="Cambria"/>
                <w:b/>
                <w:color w:val="1F1F1F"/>
                <w:sz w:val="20"/>
              </w:rPr>
              <w:t>Nivel del Índice</w:t>
            </w:r>
          </w:p>
        </w:tc>
        <w:tc>
          <w:tcPr>
            <w:tcW w:type="dxa" w:w="3024"/>
            <w:shd w:val="clear" w:color="auto" w:fill="D9E2F3"/>
          </w:tcPr>
          <w:p>
            <w:pPr>
              <w:jc w:val="right"/>
            </w:pPr>
            <w:r/>
            <w:r>
              <w:rPr>
                <w:rFonts w:ascii="Cambria" w:hAnsi="Cambria"/>
                <w:b/>
                <w:color w:val="1F1F1F"/>
                <w:sz w:val="20"/>
              </w:rPr>
              <w:t>Variación % anual</w:t>
            </w:r>
          </w:p>
        </w:tc>
      </w:tr>
      <w:tr>
        <w:trPr>
          <w:cantSplit/>
        </w:trPr>
        <w:tc>
          <w:tcPr>
            <w:tcW w:type="dxa" w:w="3168"/>
          </w:tcPr>
          <w:p>
            <w:r/>
            <w:r>
              <w:rPr>
                <w:rFonts w:ascii="Cambria" w:hAnsi="Cambria"/>
                <w:b w:val="0"/>
                <w:color w:val="1F1F1F"/>
                <w:sz w:val="20"/>
              </w:rPr>
              <w:t>feb-24</w:t>
            </w:r>
          </w:p>
        </w:tc>
        <w:tc>
          <w:tcPr>
            <w:tcW w:type="dxa" w:w="3168"/>
          </w:tcPr>
          <w:p>
            <w:pPr>
              <w:jc w:val="right"/>
            </w:pPr>
            <w:r/>
            <w:r>
              <w:rPr>
                <w:rFonts w:ascii="Cambria" w:hAnsi="Cambria"/>
                <w:b w:val="0"/>
                <w:color w:val="1F1F1F"/>
                <w:sz w:val="20"/>
              </w:rPr>
              <w:t>101.4</w:t>
            </w:r>
          </w:p>
        </w:tc>
        <w:tc>
          <w:tcPr>
            <w:tcW w:type="dxa" w:w="3024"/>
          </w:tcPr>
          <w:p>
            <w:pPr>
              <w:jc w:val="right"/>
            </w:pPr>
            <w:r/>
            <w:r>
              <w:rPr>
                <w:rFonts w:ascii="Cambria" w:hAnsi="Cambria"/>
                <w:b w:val="0"/>
                <w:color w:val="2E7D32"/>
                <w:sz w:val="20"/>
              </w:rPr>
              <w:t>+4.4%</w:t>
            </w:r>
          </w:p>
        </w:tc>
      </w:tr>
      <w:tr>
        <w:trPr>
          <w:cantSplit/>
        </w:trPr>
        <w:tc>
          <w:tcPr>
            <w:tcW w:type="dxa" w:w="3168"/>
          </w:tcPr>
          <w:p>
            <w:r/>
            <w:r>
              <w:rPr>
                <w:rFonts w:ascii="Cambria" w:hAnsi="Cambria"/>
                <w:b w:val="0"/>
                <w:color w:val="1F1F1F"/>
                <w:sz w:val="20"/>
              </w:rPr>
              <w:t>mar-24</w:t>
            </w:r>
          </w:p>
        </w:tc>
        <w:tc>
          <w:tcPr>
            <w:tcW w:type="dxa" w:w="3168"/>
          </w:tcPr>
          <w:p>
            <w:pPr>
              <w:jc w:val="right"/>
            </w:pPr>
            <w:r/>
            <w:r>
              <w:rPr>
                <w:rFonts w:ascii="Cambria" w:hAnsi="Cambria"/>
                <w:b w:val="0"/>
                <w:color w:val="1F1F1F"/>
                <w:sz w:val="20"/>
              </w:rPr>
              <w:t>102.7</w:t>
            </w:r>
          </w:p>
        </w:tc>
        <w:tc>
          <w:tcPr>
            <w:tcW w:type="dxa" w:w="3024"/>
          </w:tcPr>
          <w:p>
            <w:pPr>
              <w:jc w:val="right"/>
            </w:pPr>
            <w:r/>
            <w:r>
              <w:rPr>
                <w:rFonts w:ascii="Cambria" w:hAnsi="Cambria"/>
                <w:b w:val="0"/>
                <w:color w:val="C62828"/>
                <w:sz w:val="20"/>
              </w:rPr>
              <w:t>-1.3%</w:t>
            </w:r>
          </w:p>
        </w:tc>
      </w:tr>
      <w:tr>
        <w:trPr>
          <w:cantSplit/>
        </w:trPr>
        <w:tc>
          <w:tcPr>
            <w:tcW w:type="dxa" w:w="3168"/>
          </w:tcPr>
          <w:p>
            <w:r/>
            <w:r>
              <w:rPr>
                <w:rFonts w:ascii="Cambria" w:hAnsi="Cambria"/>
                <w:b w:val="0"/>
                <w:color w:val="1F1F1F"/>
                <w:sz w:val="20"/>
              </w:rPr>
              <w:t>abr-24</w:t>
            </w:r>
          </w:p>
        </w:tc>
        <w:tc>
          <w:tcPr>
            <w:tcW w:type="dxa" w:w="3168"/>
          </w:tcPr>
          <w:p>
            <w:pPr>
              <w:jc w:val="right"/>
            </w:pPr>
            <w:r/>
            <w:r>
              <w:rPr>
                <w:rFonts w:ascii="Cambria" w:hAnsi="Cambria"/>
                <w:b w:val="0"/>
                <w:color w:val="1F1F1F"/>
                <w:sz w:val="20"/>
              </w:rPr>
              <w:t>105.7</w:t>
            </w:r>
          </w:p>
        </w:tc>
        <w:tc>
          <w:tcPr>
            <w:tcW w:type="dxa" w:w="3024"/>
          </w:tcPr>
          <w:p>
            <w:pPr>
              <w:jc w:val="right"/>
            </w:pPr>
            <w:r/>
            <w:r>
              <w:rPr>
                <w:rFonts w:ascii="Cambria" w:hAnsi="Cambria"/>
                <w:b w:val="0"/>
                <w:color w:val="2E7D32"/>
                <w:sz w:val="20"/>
              </w:rPr>
              <w:t>+5.5%</w:t>
            </w:r>
          </w:p>
        </w:tc>
      </w:tr>
      <w:tr>
        <w:trPr>
          <w:cantSplit/>
        </w:trPr>
        <w:tc>
          <w:tcPr>
            <w:tcW w:type="dxa" w:w="3168"/>
          </w:tcPr>
          <w:p>
            <w:r/>
            <w:r>
              <w:rPr>
                <w:rFonts w:ascii="Cambria" w:hAnsi="Cambria"/>
                <w:b w:val="0"/>
                <w:color w:val="1F1F1F"/>
                <w:sz w:val="20"/>
              </w:rPr>
              <w:t>may-24</w:t>
            </w:r>
          </w:p>
        </w:tc>
        <w:tc>
          <w:tcPr>
            <w:tcW w:type="dxa" w:w="3168"/>
          </w:tcPr>
          <w:p>
            <w:pPr>
              <w:jc w:val="right"/>
            </w:pPr>
            <w:r/>
            <w:r>
              <w:rPr>
                <w:rFonts w:ascii="Cambria" w:hAnsi="Cambria"/>
                <w:b w:val="0"/>
                <w:color w:val="1F1F1F"/>
                <w:sz w:val="20"/>
              </w:rPr>
              <w:t>107.5</w:t>
            </w:r>
          </w:p>
        </w:tc>
        <w:tc>
          <w:tcPr>
            <w:tcW w:type="dxa" w:w="3024"/>
          </w:tcPr>
          <w:p>
            <w:pPr>
              <w:jc w:val="right"/>
            </w:pPr>
            <w:r/>
            <w:r>
              <w:rPr>
                <w:rFonts w:ascii="Cambria" w:hAnsi="Cambria"/>
                <w:b w:val="0"/>
                <w:color w:val="2E7D32"/>
                <w:sz w:val="20"/>
              </w:rPr>
              <w:t>+1.5%</w:t>
            </w:r>
          </w:p>
        </w:tc>
      </w:tr>
      <w:tr>
        <w:trPr>
          <w:cantSplit/>
        </w:trPr>
        <w:tc>
          <w:tcPr>
            <w:tcW w:type="dxa" w:w="3168"/>
          </w:tcPr>
          <w:p>
            <w:r/>
            <w:r>
              <w:rPr>
                <w:rFonts w:ascii="Cambria" w:hAnsi="Cambria"/>
                <w:b w:val="0"/>
                <w:color w:val="1F1F1F"/>
                <w:sz w:val="20"/>
              </w:rPr>
              <w:t>jun-24</w:t>
            </w:r>
          </w:p>
        </w:tc>
        <w:tc>
          <w:tcPr>
            <w:tcW w:type="dxa" w:w="3168"/>
          </w:tcPr>
          <w:p>
            <w:pPr>
              <w:jc w:val="right"/>
            </w:pPr>
            <w:r/>
            <w:r>
              <w:rPr>
                <w:rFonts w:ascii="Cambria" w:hAnsi="Cambria"/>
                <w:b w:val="0"/>
                <w:color w:val="1F1F1F"/>
                <w:sz w:val="20"/>
              </w:rPr>
              <w:t>103.6</w:t>
            </w:r>
          </w:p>
        </w:tc>
        <w:tc>
          <w:tcPr>
            <w:tcW w:type="dxa" w:w="3024"/>
          </w:tcPr>
          <w:p>
            <w:pPr>
              <w:jc w:val="right"/>
            </w:pPr>
            <w:r/>
            <w:r>
              <w:rPr>
                <w:rFonts w:ascii="Cambria" w:hAnsi="Cambria"/>
                <w:b w:val="0"/>
                <w:color w:val="C62828"/>
                <w:sz w:val="20"/>
              </w:rPr>
              <w:t>-0.5%</w:t>
            </w:r>
          </w:p>
        </w:tc>
      </w:tr>
      <w:tr>
        <w:trPr>
          <w:cantSplit/>
        </w:trPr>
        <w:tc>
          <w:tcPr>
            <w:tcW w:type="dxa" w:w="3168"/>
          </w:tcPr>
          <w:p>
            <w:r/>
            <w:r>
              <w:rPr>
                <w:rFonts w:ascii="Cambria" w:hAnsi="Cambria"/>
                <w:b w:val="0"/>
                <w:color w:val="1F1F1F"/>
                <w:sz w:val="20"/>
              </w:rPr>
              <w:t>jul-24</w:t>
            </w:r>
          </w:p>
        </w:tc>
        <w:tc>
          <w:tcPr>
            <w:tcW w:type="dxa" w:w="3168"/>
          </w:tcPr>
          <w:p>
            <w:pPr>
              <w:jc w:val="right"/>
            </w:pPr>
            <w:r/>
            <w:r>
              <w:rPr>
                <w:rFonts w:ascii="Cambria" w:hAnsi="Cambria"/>
                <w:b w:val="0"/>
                <w:color w:val="1F1F1F"/>
                <w:sz w:val="20"/>
              </w:rPr>
              <w:t>106.8</w:t>
            </w:r>
          </w:p>
        </w:tc>
        <w:tc>
          <w:tcPr>
            <w:tcW w:type="dxa" w:w="3024"/>
          </w:tcPr>
          <w:p>
            <w:pPr>
              <w:jc w:val="right"/>
            </w:pPr>
            <w:r/>
            <w:r>
              <w:rPr>
                <w:rFonts w:ascii="Cambria" w:hAnsi="Cambria"/>
                <w:b w:val="0"/>
                <w:color w:val="2E7D32"/>
                <w:sz w:val="20"/>
              </w:rPr>
              <w:t>+3.9%</w:t>
            </w:r>
          </w:p>
        </w:tc>
      </w:tr>
      <w:tr>
        <w:trPr>
          <w:cantSplit/>
        </w:trPr>
        <w:tc>
          <w:tcPr>
            <w:tcW w:type="dxa" w:w="3168"/>
          </w:tcPr>
          <w:p>
            <w:r/>
            <w:r>
              <w:rPr>
                <w:rFonts w:ascii="Cambria" w:hAnsi="Cambria"/>
                <w:b w:val="0"/>
                <w:color w:val="1F1F1F"/>
                <w:sz w:val="20"/>
              </w:rPr>
              <w:t>ago-24</w:t>
            </w:r>
          </w:p>
        </w:tc>
        <w:tc>
          <w:tcPr>
            <w:tcW w:type="dxa" w:w="3168"/>
          </w:tcPr>
          <w:p>
            <w:pPr>
              <w:jc w:val="right"/>
            </w:pPr>
            <w:r/>
            <w:r>
              <w:rPr>
                <w:rFonts w:ascii="Cambria" w:hAnsi="Cambria"/>
                <w:b w:val="0"/>
                <w:color w:val="1F1F1F"/>
                <w:sz w:val="20"/>
              </w:rPr>
              <w:t>105.6</w:t>
            </w:r>
          </w:p>
        </w:tc>
        <w:tc>
          <w:tcPr>
            <w:tcW w:type="dxa" w:w="3024"/>
          </w:tcPr>
          <w:p>
            <w:pPr>
              <w:jc w:val="right"/>
            </w:pPr>
            <w:r/>
            <w:r>
              <w:rPr>
                <w:rFonts w:ascii="Cambria" w:hAnsi="Cambria"/>
                <w:b w:val="0"/>
                <w:color w:val="2E7D32"/>
                <w:sz w:val="20"/>
              </w:rPr>
              <w:t>+0.5%</w:t>
            </w:r>
          </w:p>
        </w:tc>
      </w:tr>
      <w:tr>
        <w:trPr>
          <w:cantSplit/>
        </w:trPr>
        <w:tc>
          <w:tcPr>
            <w:tcW w:type="dxa" w:w="3168"/>
          </w:tcPr>
          <w:p>
            <w:r/>
            <w:r>
              <w:rPr>
                <w:rFonts w:ascii="Cambria" w:hAnsi="Cambria"/>
                <w:b w:val="0"/>
                <w:color w:val="1F1F1F"/>
                <w:sz w:val="20"/>
              </w:rPr>
              <w:t>sep-24</w:t>
            </w:r>
          </w:p>
        </w:tc>
        <w:tc>
          <w:tcPr>
            <w:tcW w:type="dxa" w:w="3168"/>
          </w:tcPr>
          <w:p>
            <w:pPr>
              <w:jc w:val="right"/>
            </w:pPr>
            <w:r/>
            <w:r>
              <w:rPr>
                <w:rFonts w:ascii="Cambria" w:hAnsi="Cambria"/>
                <w:b w:val="0"/>
                <w:color w:val="1F1F1F"/>
                <w:sz w:val="20"/>
              </w:rPr>
              <w:t>102.5</w:t>
            </w:r>
          </w:p>
        </w:tc>
        <w:tc>
          <w:tcPr>
            <w:tcW w:type="dxa" w:w="3024"/>
          </w:tcPr>
          <w:p>
            <w:pPr>
              <w:jc w:val="right"/>
            </w:pPr>
            <w:r/>
            <w:r>
              <w:rPr>
                <w:rFonts w:ascii="Cambria" w:hAnsi="Cambria"/>
                <w:b w:val="0"/>
                <w:color w:val="C62828"/>
                <w:sz w:val="20"/>
              </w:rPr>
              <w:t>-0.1%</w:t>
            </w:r>
          </w:p>
        </w:tc>
      </w:tr>
      <w:tr>
        <w:trPr>
          <w:cantSplit/>
        </w:trPr>
        <w:tc>
          <w:tcPr>
            <w:tcW w:type="dxa" w:w="3168"/>
          </w:tcPr>
          <w:p>
            <w:r/>
            <w:r>
              <w:rPr>
                <w:rFonts w:ascii="Cambria" w:hAnsi="Cambria"/>
                <w:b w:val="0"/>
                <w:color w:val="1F1F1F"/>
                <w:sz w:val="20"/>
              </w:rPr>
              <w:t>oct-24</w:t>
            </w:r>
          </w:p>
        </w:tc>
        <w:tc>
          <w:tcPr>
            <w:tcW w:type="dxa" w:w="3168"/>
          </w:tcPr>
          <w:p>
            <w:pPr>
              <w:jc w:val="right"/>
            </w:pPr>
            <w:r/>
            <w:r>
              <w:rPr>
                <w:rFonts w:ascii="Cambria" w:hAnsi="Cambria"/>
                <w:b w:val="0"/>
                <w:color w:val="1F1F1F"/>
                <w:sz w:val="20"/>
              </w:rPr>
              <w:t>106.1</w:t>
            </w:r>
          </w:p>
        </w:tc>
        <w:tc>
          <w:tcPr>
            <w:tcW w:type="dxa" w:w="3024"/>
          </w:tcPr>
          <w:p>
            <w:pPr>
              <w:jc w:val="right"/>
            </w:pPr>
            <w:r/>
            <w:r>
              <w:rPr>
                <w:rFonts w:ascii="Cambria" w:hAnsi="Cambria"/>
                <w:b w:val="0"/>
                <w:color w:val="2E7D32"/>
                <w:sz w:val="20"/>
              </w:rPr>
              <w:t>+0.8%</w:t>
            </w:r>
          </w:p>
        </w:tc>
      </w:tr>
      <w:tr>
        <w:trPr>
          <w:cantSplit/>
        </w:trPr>
        <w:tc>
          <w:tcPr>
            <w:tcW w:type="dxa" w:w="3168"/>
          </w:tcPr>
          <w:p>
            <w:r/>
            <w:r>
              <w:rPr>
                <w:rFonts w:ascii="Cambria" w:hAnsi="Cambria"/>
                <w:b w:val="0"/>
                <w:color w:val="1F1F1F"/>
                <w:sz w:val="20"/>
              </w:rPr>
              <w:t>nov-24</w:t>
            </w:r>
          </w:p>
        </w:tc>
        <w:tc>
          <w:tcPr>
            <w:tcW w:type="dxa" w:w="3168"/>
          </w:tcPr>
          <w:p>
            <w:pPr>
              <w:jc w:val="right"/>
            </w:pPr>
            <w:r/>
            <w:r>
              <w:rPr>
                <w:rFonts w:ascii="Cambria" w:hAnsi="Cambria"/>
                <w:b w:val="0"/>
                <w:color w:val="1F1F1F"/>
                <w:sz w:val="20"/>
              </w:rPr>
              <w:t>108.1</w:t>
            </w:r>
          </w:p>
        </w:tc>
        <w:tc>
          <w:tcPr>
            <w:tcW w:type="dxa" w:w="3024"/>
          </w:tcPr>
          <w:p>
            <w:pPr>
              <w:jc w:val="right"/>
            </w:pPr>
            <w:r/>
            <w:r>
              <w:rPr>
                <w:rFonts w:ascii="Cambria" w:hAnsi="Cambria"/>
                <w:b w:val="0"/>
                <w:color w:val="2E7D32"/>
                <w:sz w:val="20"/>
              </w:rPr>
              <w:t>+0.3%</w:t>
            </w:r>
          </w:p>
        </w:tc>
      </w:tr>
      <w:tr>
        <w:trPr>
          <w:cantSplit/>
        </w:trPr>
        <w:tc>
          <w:tcPr>
            <w:tcW w:type="dxa" w:w="3168"/>
          </w:tcPr>
          <w:p>
            <w:r/>
            <w:r>
              <w:rPr>
                <w:rFonts w:ascii="Cambria" w:hAnsi="Cambria"/>
                <w:b w:val="0"/>
                <w:color w:val="1F1F1F"/>
                <w:sz w:val="20"/>
              </w:rPr>
              <w:t>dic-24</w:t>
            </w:r>
          </w:p>
        </w:tc>
        <w:tc>
          <w:tcPr>
            <w:tcW w:type="dxa" w:w="3168"/>
          </w:tcPr>
          <w:p>
            <w:pPr>
              <w:jc w:val="right"/>
            </w:pPr>
            <w:r/>
            <w:r>
              <w:rPr>
                <w:rFonts w:ascii="Cambria" w:hAnsi="Cambria"/>
                <w:b w:val="0"/>
                <w:color w:val="1F1F1F"/>
                <w:sz w:val="20"/>
              </w:rPr>
              <w:t>104.0</w:t>
            </w:r>
          </w:p>
        </w:tc>
        <w:tc>
          <w:tcPr>
            <w:tcW w:type="dxa" w:w="3024"/>
          </w:tcPr>
          <w:p>
            <w:pPr>
              <w:jc w:val="right"/>
            </w:pPr>
            <w:r/>
            <w:r>
              <w:rPr>
                <w:rFonts w:ascii="Cambria" w:hAnsi="Cambria"/>
                <w:b w:val="0"/>
                <w:color w:val="C62828"/>
                <w:sz w:val="20"/>
              </w:rPr>
              <w:t>-0.5%</w:t>
            </w:r>
          </w:p>
        </w:tc>
      </w:tr>
      <w:tr>
        <w:trPr>
          <w:cantSplit/>
        </w:trPr>
        <w:tc>
          <w:tcPr>
            <w:tcW w:type="dxa" w:w="3168"/>
          </w:tcPr>
          <w:p>
            <w:r/>
            <w:r>
              <w:rPr>
                <w:rFonts w:ascii="Cambria" w:hAnsi="Cambria"/>
                <w:b w:val="0"/>
                <w:color w:val="1F1F1F"/>
                <w:sz w:val="20"/>
              </w:rPr>
              <w:t>ene-25</w:t>
            </w:r>
          </w:p>
        </w:tc>
        <w:tc>
          <w:tcPr>
            <w:tcW w:type="dxa" w:w="3168"/>
          </w:tcPr>
          <w:p>
            <w:pPr>
              <w:jc w:val="right"/>
            </w:pPr>
            <w:r/>
            <w:r>
              <w:rPr>
                <w:rFonts w:ascii="Cambria" w:hAnsi="Cambria"/>
                <w:b w:val="0"/>
                <w:color w:val="1F1F1F"/>
                <w:sz w:val="20"/>
              </w:rPr>
              <w:t>101.3</w:t>
            </w:r>
          </w:p>
        </w:tc>
        <w:tc>
          <w:tcPr>
            <w:tcW w:type="dxa" w:w="3024"/>
          </w:tcPr>
          <w:p>
            <w:pPr>
              <w:jc w:val="right"/>
            </w:pPr>
            <w:r/>
            <w:r>
              <w:rPr>
                <w:rFonts w:ascii="Cambria" w:hAnsi="Cambria"/>
                <w:b w:val="0"/>
                <w:color w:val="C62828"/>
                <w:sz w:val="20"/>
              </w:rPr>
              <w:t>-0.4%</w:t>
            </w:r>
          </w:p>
        </w:tc>
      </w:tr>
    </w:tbl>
    <w:p/>
    <w:p>
      <w:pPr>
        <w:pStyle w:val="Heading1"/>
      </w:pPr>
      <w:r>
        <w:rPr>
          <w:rFonts w:ascii="Calibri Light" w:hAnsi="Calibri Light"/>
          <w:b/>
          <w:color w:val="4F81BD"/>
          <w:sz w:val="32"/>
        </w:rPr>
        <w:t>IGAE por Grandes Actividades (Primarias, Secundarias y Terciarias)</w:t>
      </w:r>
    </w:p>
    <w:p>
      <w:r>
        <w:rPr>
          <w:rFonts w:ascii="Cambria" w:hAnsi="Cambria"/>
          <w:b w:val="0"/>
          <w:color w:val="1F1F1F"/>
          <w:sz w:val="22"/>
        </w:rPr>
        <w:t>En enero de 2025, la actividad económica con mayor nivel de índice fue Actividades primarias con un valor de 108.9, seguida de Actividades terciarias con 103.0 y Actividades secundarias con 97.7. En términos de crecimiento anual, Actividades primarias registró la mayor variación (+13.5%), seguida de Actividades terciarias (+0.9%) y Actividades secundarias (-3.8%). La siguiente tabla muestra el nivel del IGAE por actividad económica y su comparación contra enero de 2024.</w:t>
      </w:r>
    </w:p>
    <w:tbl>
      <w:tblPr>
        <w:tblStyle w:val="TableGrid"/>
        <w:tblW w:type="auto" w:w="0"/>
        <w:jc w:val="left"/>
        <w:tblLayout w:type="fixed"/>
        <w:tblLook w:firstColumn="1" w:firstRow="1" w:lastColumn="0" w:lastRow="0" w:noHBand="0" w:noVBand="1" w:val="04A0"/>
      </w:tblPr>
      <w:tblGrid>
        <w:gridCol w:w="2304"/>
        <w:gridCol w:w="1440"/>
        <w:gridCol w:w="1296"/>
        <w:gridCol w:w="1296"/>
        <w:gridCol w:w="1584"/>
        <w:gridCol w:w="1440"/>
      </w:tblGrid>
      <w:tr>
        <w:trPr>
          <w:tblHeader/>
          <w:cantSplit/>
        </w:trPr>
        <w:tc>
          <w:tcPr>
            <w:tcW w:type="dxa" w:w="2304"/>
            <w:shd w:val="clear" w:color="auto" w:fill="D9E2F3"/>
          </w:tcPr>
          <w:p>
            <w:r/>
            <w:r>
              <w:rPr>
                <w:rFonts w:ascii="Cambria" w:hAnsi="Cambria"/>
                <w:b/>
                <w:color w:val="1F1F1F"/>
                <w:sz w:val="20"/>
              </w:rPr>
              <w:t>Actividad Económica</w:t>
            </w:r>
          </w:p>
        </w:tc>
        <w:tc>
          <w:tcPr>
            <w:tcW w:type="dxa" w:w="1440"/>
            <w:shd w:val="clear" w:color="auto" w:fill="D9E2F3"/>
          </w:tcPr>
          <w:p>
            <w:pPr>
              <w:jc w:val="right"/>
            </w:pPr>
            <w:r/>
            <w:r>
              <w:rPr>
                <w:rFonts w:ascii="Cambria" w:hAnsi="Cambria"/>
                <w:b/>
                <w:color w:val="1F1F1F"/>
                <w:sz w:val="20"/>
              </w:rPr>
              <w:t>Nivel ene-24</w:t>
            </w:r>
          </w:p>
        </w:tc>
        <w:tc>
          <w:tcPr>
            <w:tcW w:type="dxa" w:w="1296"/>
            <w:shd w:val="clear" w:color="auto" w:fill="D9E2F3"/>
          </w:tcPr>
          <w:p>
            <w:pPr>
              <w:jc w:val="right"/>
            </w:pPr>
            <w:r/>
            <w:r>
              <w:rPr>
                <w:rFonts w:ascii="Cambria" w:hAnsi="Cambria"/>
                <w:b/>
                <w:color w:val="1F1F1F"/>
                <w:sz w:val="20"/>
              </w:rPr>
              <w:t>Nivel actual</w:t>
            </w:r>
          </w:p>
        </w:tc>
        <w:tc>
          <w:tcPr>
            <w:tcW w:type="dxa" w:w="1296"/>
            <w:shd w:val="clear" w:color="auto" w:fill="D9E2F3"/>
          </w:tcPr>
          <w:p>
            <w:pPr>
              <w:jc w:val="right"/>
            </w:pPr>
            <w:r/>
            <w:r>
              <w:rPr>
                <w:rFonts w:ascii="Cambria" w:hAnsi="Cambria"/>
                <w:b/>
                <w:color w:val="1F1F1F"/>
                <w:sz w:val="20"/>
              </w:rPr>
              <w:t>Var. anual</w:t>
            </w:r>
          </w:p>
        </w:tc>
        <w:tc>
          <w:tcPr>
            <w:tcW w:type="dxa" w:w="1584"/>
            <w:shd w:val="clear" w:color="auto" w:fill="D9E2F3"/>
          </w:tcPr>
          <w:p>
            <w:pPr>
              <w:jc w:val="right"/>
            </w:pPr>
            <w:r/>
            <w:r>
              <w:rPr>
                <w:rFonts w:ascii="Cambria" w:hAnsi="Cambria"/>
                <w:b/>
                <w:color w:val="1F1F1F"/>
                <w:sz w:val="20"/>
              </w:rPr>
              <w:t>Var. acumulada</w:t>
            </w:r>
          </w:p>
        </w:tc>
        <w:tc>
          <w:tcPr>
            <w:tcW w:type="dxa" w:w="1440"/>
            <w:shd w:val="clear" w:color="auto" w:fill="D9E2F3"/>
          </w:tcPr>
          <w:p>
            <w:pPr>
              <w:jc w:val="right"/>
            </w:pPr>
            <w:r/>
            <w:r>
              <w:rPr>
                <w:rFonts w:ascii="Cambria" w:hAnsi="Cambria"/>
                <w:b/>
                <w:color w:val="1F1F1F"/>
                <w:sz w:val="20"/>
              </w:rPr>
              <w:t>Contrib. (pp)</w:t>
            </w:r>
          </w:p>
        </w:tc>
      </w:tr>
      <w:tr>
        <w:trPr>
          <w:cantSplit/>
        </w:trPr>
        <w:tc>
          <w:tcPr>
            <w:tcW w:type="dxa" w:w="2304"/>
          </w:tcPr>
          <w:p>
            <w:r/>
            <w:r>
              <w:rPr>
                <w:rFonts w:ascii="Cambria" w:hAnsi="Cambria"/>
                <w:b w:val="0"/>
                <w:color w:val="1F1F1F"/>
                <w:sz w:val="20"/>
              </w:rPr>
              <w:t>Actividades primarias</w:t>
            </w:r>
          </w:p>
        </w:tc>
        <w:tc>
          <w:tcPr>
            <w:tcW w:type="dxa" w:w="1440"/>
          </w:tcPr>
          <w:p>
            <w:pPr>
              <w:jc w:val="right"/>
            </w:pPr>
            <w:r/>
            <w:r>
              <w:rPr>
                <w:rFonts w:ascii="Cambria" w:hAnsi="Cambria"/>
                <w:b w:val="0"/>
                <w:color w:val="1F1F1F"/>
                <w:sz w:val="20"/>
              </w:rPr>
              <w:t>96.0</w:t>
            </w:r>
          </w:p>
        </w:tc>
        <w:tc>
          <w:tcPr>
            <w:tcW w:type="dxa" w:w="1296"/>
          </w:tcPr>
          <w:p>
            <w:pPr>
              <w:jc w:val="right"/>
            </w:pPr>
            <w:r/>
            <w:r>
              <w:rPr>
                <w:rFonts w:ascii="Cambria" w:hAnsi="Cambria"/>
                <w:b w:val="0"/>
                <w:color w:val="1F1F1F"/>
                <w:sz w:val="20"/>
              </w:rPr>
              <w:t>108.9</w:t>
            </w:r>
          </w:p>
        </w:tc>
        <w:tc>
          <w:tcPr>
            <w:tcW w:type="dxa" w:w="1296"/>
          </w:tcPr>
          <w:p>
            <w:pPr>
              <w:jc w:val="right"/>
            </w:pPr>
            <w:r/>
            <w:r>
              <w:rPr>
                <w:rFonts w:ascii="Cambria" w:hAnsi="Cambria"/>
                <w:b w:val="0"/>
                <w:color w:val="2E7D32"/>
                <w:sz w:val="20"/>
              </w:rPr>
              <w:t>+13.5%</w:t>
            </w:r>
          </w:p>
        </w:tc>
        <w:tc>
          <w:tcPr>
            <w:tcW w:type="dxa" w:w="1584"/>
          </w:tcPr>
          <w:p>
            <w:pPr>
              <w:jc w:val="right"/>
            </w:pPr>
            <w:r/>
            <w:r>
              <w:rPr>
                <w:rFonts w:ascii="Cambria" w:hAnsi="Cambria"/>
                <w:b w:val="0"/>
                <w:color w:val="2E7D32"/>
                <w:sz w:val="20"/>
              </w:rPr>
              <w:t>+13.5%</w:t>
            </w:r>
          </w:p>
        </w:tc>
        <w:tc>
          <w:tcPr>
            <w:tcW w:type="dxa" w:w="1440"/>
          </w:tcPr>
          <w:p>
            <w:pPr>
              <w:jc w:val="right"/>
            </w:pPr>
            <w:r/>
            <w:r>
              <w:rPr>
                <w:rFonts w:ascii="Cambria" w:hAnsi="Cambria"/>
                <w:b w:val="0"/>
                <w:color w:val="1F1F1F"/>
                <w:sz w:val="20"/>
              </w:rPr>
              <w:t>0.44</w:t>
            </w:r>
          </w:p>
        </w:tc>
      </w:tr>
      <w:tr>
        <w:trPr>
          <w:cantSplit/>
        </w:trPr>
        <w:tc>
          <w:tcPr>
            <w:tcW w:type="dxa" w:w="2304"/>
          </w:tcPr>
          <w:p>
            <w:r/>
            <w:r>
              <w:rPr>
                <w:rFonts w:ascii="Cambria" w:hAnsi="Cambria"/>
                <w:b w:val="0"/>
                <w:color w:val="1F1F1F"/>
                <w:sz w:val="20"/>
              </w:rPr>
              <w:t>Actividades terciarias</w:t>
            </w:r>
          </w:p>
        </w:tc>
        <w:tc>
          <w:tcPr>
            <w:tcW w:type="dxa" w:w="1440"/>
          </w:tcPr>
          <w:p>
            <w:pPr>
              <w:jc w:val="right"/>
            </w:pPr>
            <w:r/>
            <w:r>
              <w:rPr>
                <w:rFonts w:ascii="Cambria" w:hAnsi="Cambria"/>
                <w:b w:val="0"/>
                <w:color w:val="1F1F1F"/>
                <w:sz w:val="20"/>
              </w:rPr>
              <w:t>102.1</w:t>
            </w:r>
          </w:p>
        </w:tc>
        <w:tc>
          <w:tcPr>
            <w:tcW w:type="dxa" w:w="1296"/>
          </w:tcPr>
          <w:p>
            <w:pPr>
              <w:jc w:val="right"/>
            </w:pPr>
            <w:r/>
            <w:r>
              <w:rPr>
                <w:rFonts w:ascii="Cambria" w:hAnsi="Cambria"/>
                <w:b w:val="0"/>
                <w:color w:val="1F1F1F"/>
                <w:sz w:val="20"/>
              </w:rPr>
              <w:t>103.0</w:t>
            </w:r>
          </w:p>
        </w:tc>
        <w:tc>
          <w:tcPr>
            <w:tcW w:type="dxa" w:w="1296"/>
          </w:tcPr>
          <w:p>
            <w:pPr>
              <w:jc w:val="right"/>
            </w:pPr>
            <w:r/>
            <w:r>
              <w:rPr>
                <w:rFonts w:ascii="Cambria" w:hAnsi="Cambria"/>
                <w:b w:val="0"/>
                <w:color w:val="2E7D32"/>
                <w:sz w:val="20"/>
              </w:rPr>
              <w:t>+0.9%</w:t>
            </w:r>
          </w:p>
        </w:tc>
        <w:tc>
          <w:tcPr>
            <w:tcW w:type="dxa" w:w="1584"/>
          </w:tcPr>
          <w:p>
            <w:pPr>
              <w:jc w:val="right"/>
            </w:pPr>
            <w:r/>
            <w:r>
              <w:rPr>
                <w:rFonts w:ascii="Cambria" w:hAnsi="Cambria"/>
                <w:b w:val="0"/>
                <w:color w:val="2E7D32"/>
                <w:sz w:val="20"/>
              </w:rPr>
              <w:t>+0.9%</w:t>
            </w:r>
          </w:p>
        </w:tc>
        <w:tc>
          <w:tcPr>
            <w:tcW w:type="dxa" w:w="1440"/>
          </w:tcPr>
          <w:p>
            <w:pPr>
              <w:jc w:val="right"/>
            </w:pPr>
            <w:r/>
            <w:r>
              <w:rPr>
                <w:rFonts w:ascii="Cambria" w:hAnsi="Cambria"/>
                <w:b w:val="0"/>
                <w:color w:val="1F1F1F"/>
                <w:sz w:val="20"/>
              </w:rPr>
              <w:t>0.53</w:t>
            </w:r>
          </w:p>
        </w:tc>
      </w:tr>
      <w:tr>
        <w:trPr>
          <w:cantSplit/>
        </w:trPr>
        <w:tc>
          <w:tcPr>
            <w:tcW w:type="dxa" w:w="2304"/>
          </w:tcPr>
          <w:p>
            <w:r/>
            <w:r>
              <w:rPr>
                <w:rFonts w:ascii="Cambria" w:hAnsi="Cambria"/>
                <w:b w:val="0"/>
                <w:color w:val="1F1F1F"/>
                <w:sz w:val="20"/>
              </w:rPr>
              <w:t>Actividades secundarias</w:t>
            </w:r>
          </w:p>
        </w:tc>
        <w:tc>
          <w:tcPr>
            <w:tcW w:type="dxa" w:w="1440"/>
          </w:tcPr>
          <w:p>
            <w:pPr>
              <w:jc w:val="right"/>
            </w:pPr>
            <w:r/>
            <w:r>
              <w:rPr>
                <w:rFonts w:ascii="Cambria" w:hAnsi="Cambria"/>
                <w:b w:val="0"/>
                <w:color w:val="1F1F1F"/>
                <w:sz w:val="20"/>
              </w:rPr>
              <w:t>101.5</w:t>
            </w:r>
          </w:p>
        </w:tc>
        <w:tc>
          <w:tcPr>
            <w:tcW w:type="dxa" w:w="1296"/>
          </w:tcPr>
          <w:p>
            <w:pPr>
              <w:jc w:val="right"/>
            </w:pPr>
            <w:r/>
            <w:r>
              <w:rPr>
                <w:rFonts w:ascii="Cambria" w:hAnsi="Cambria"/>
                <w:b w:val="0"/>
                <w:color w:val="1F1F1F"/>
                <w:sz w:val="20"/>
              </w:rPr>
              <w:t>97.7</w:t>
            </w:r>
          </w:p>
        </w:tc>
        <w:tc>
          <w:tcPr>
            <w:tcW w:type="dxa" w:w="1296"/>
          </w:tcPr>
          <w:p>
            <w:pPr>
              <w:jc w:val="right"/>
            </w:pPr>
            <w:r/>
            <w:r>
              <w:rPr>
                <w:rFonts w:ascii="Cambria" w:hAnsi="Cambria"/>
                <w:b w:val="0"/>
                <w:color w:val="C62828"/>
                <w:sz w:val="20"/>
              </w:rPr>
              <w:t>-3.8%</w:t>
            </w:r>
          </w:p>
        </w:tc>
        <w:tc>
          <w:tcPr>
            <w:tcW w:type="dxa" w:w="1584"/>
          </w:tcPr>
          <w:p>
            <w:pPr>
              <w:jc w:val="right"/>
            </w:pPr>
            <w:r/>
            <w:r>
              <w:rPr>
                <w:rFonts w:ascii="Cambria" w:hAnsi="Cambria"/>
                <w:b w:val="0"/>
                <w:color w:val="C62828"/>
                <w:sz w:val="20"/>
              </w:rPr>
              <w:t>-3.8%</w:t>
            </w:r>
          </w:p>
        </w:tc>
        <w:tc>
          <w:tcPr>
            <w:tcW w:type="dxa" w:w="1440"/>
          </w:tcPr>
          <w:p>
            <w:pPr>
              <w:jc w:val="right"/>
            </w:pPr>
            <w:r/>
            <w:r>
              <w:rPr>
                <w:rFonts w:ascii="Cambria" w:hAnsi="Cambria"/>
                <w:b w:val="0"/>
                <w:color w:val="1F1F1F"/>
                <w:sz w:val="20"/>
              </w:rPr>
              <w:t>-1.31</w:t>
            </w:r>
          </w:p>
        </w:tc>
      </w:tr>
    </w:tbl>
    <w:p/>
    <w:p>
      <w:pPr>
        <w:pStyle w:val="Heading1"/>
      </w:pPr>
      <w:r>
        <w:rPr>
          <w:rFonts w:ascii="Calibri Light" w:hAnsi="Calibri Light"/>
          <w:b/>
          <w:color w:val="4F81BD"/>
          <w:sz w:val="32"/>
        </w:rPr>
        <w:t>Detalle por subsector (Primarias, Secundarias y Terciarias)</w:t>
      </w:r>
    </w:p>
    <w:p>
      <w:r>
        <w:rPr>
          <w:rFonts w:ascii="Cambria" w:hAnsi="Cambria"/>
          <w:b w:val="0"/>
          <w:color w:val="1F1F1F"/>
          <w:sz w:val="22"/>
        </w:rPr>
        <w:t>La siguiente tabla desglosa el IGAE de enero de 2025 en los 20 subsectores que lo integran, agrupados por gran actividad. Para cada uno se presenta su variación anual, su variación acumulada en lo que va del año y su contribución, en puntos porcentuales (pp), a la variación anual del IGAE total; la suma de las contribuciones equivale a la variación anual del índice general (-0.4%). Comercio al por menor fue el subsector que más aportó (0.42 pp), mientras que Comercio al por mayor fue el que más restó (-0.66 pp).</w:t>
      </w:r>
    </w:p>
    <w:tbl>
      <w:tblPr>
        <w:tblStyle w:val="TableGrid"/>
        <w:tblW w:type="auto" w:w="0"/>
        <w:jc w:val="left"/>
        <w:tblLayout w:type="fixed"/>
        <w:tblLook w:firstColumn="1" w:firstRow="1" w:lastColumn="0" w:lastRow="0" w:noHBand="0" w:noVBand="1" w:val="04A0"/>
      </w:tblPr>
      <w:tblGrid>
        <w:gridCol w:w="4752"/>
        <w:gridCol w:w="1368"/>
        <w:gridCol w:w="1728"/>
        <w:gridCol w:w="1512"/>
      </w:tblGrid>
      <w:tr>
        <w:trPr>
          <w:tblHeader/>
          <w:cantSplit/>
        </w:trPr>
        <w:tc>
          <w:tcPr>
            <w:tcW w:type="dxa" w:w="4752"/>
            <w:shd w:val="clear" w:color="auto" w:fill="D9E2F3"/>
          </w:tcPr>
          <w:p>
            <w:r/>
            <w:r>
              <w:rPr>
                <w:rFonts w:ascii="Cambria" w:hAnsi="Cambria"/>
                <w:b/>
                <w:color w:val="1F1F1F"/>
                <w:sz w:val="20"/>
              </w:rPr>
              <w:t>Actividad / Subsector</w:t>
            </w:r>
          </w:p>
        </w:tc>
        <w:tc>
          <w:tcPr>
            <w:tcW w:type="dxa" w:w="1368"/>
            <w:shd w:val="clear" w:color="auto" w:fill="D9E2F3"/>
          </w:tcPr>
          <w:p>
            <w:pPr>
              <w:jc w:val="right"/>
            </w:pPr>
            <w:r/>
            <w:r>
              <w:rPr>
                <w:rFonts w:ascii="Cambria" w:hAnsi="Cambria"/>
                <w:b/>
                <w:color w:val="1F1F1F"/>
                <w:sz w:val="20"/>
              </w:rPr>
              <w:t>Var. anual</w:t>
            </w:r>
          </w:p>
        </w:tc>
        <w:tc>
          <w:tcPr>
            <w:tcW w:type="dxa" w:w="1728"/>
            <w:shd w:val="clear" w:color="auto" w:fill="D9E2F3"/>
          </w:tcPr>
          <w:p>
            <w:pPr>
              <w:jc w:val="right"/>
            </w:pPr>
            <w:r/>
            <w:r>
              <w:rPr>
                <w:rFonts w:ascii="Cambria" w:hAnsi="Cambria"/>
                <w:b/>
                <w:color w:val="1F1F1F"/>
                <w:sz w:val="20"/>
              </w:rPr>
              <w:t>Var. acumulada</w:t>
            </w:r>
          </w:p>
        </w:tc>
        <w:tc>
          <w:tcPr>
            <w:tcW w:type="dxa" w:w="1512"/>
            <w:shd w:val="clear" w:color="auto" w:fill="D9E2F3"/>
          </w:tcPr>
          <w:p>
            <w:pPr>
              <w:jc w:val="right"/>
            </w:pPr>
            <w:r/>
            <w:r>
              <w:rPr>
                <w:rFonts w:ascii="Cambria" w:hAnsi="Cambria"/>
                <w:b/>
                <w:color w:val="1F1F1F"/>
                <w:sz w:val="20"/>
              </w:rPr>
              <w:t>Contrib. (pp)</w:t>
            </w:r>
          </w:p>
        </w:tc>
      </w:tr>
      <w:tr>
        <w:trPr>
          <w:cantSplit/>
        </w:trPr>
        <w:tc>
          <w:tcPr>
            <w:tcW w:type="dxa" w:w="4752"/>
            <w:shd w:val="clear" w:color="auto" w:fill="EAF1FB"/>
          </w:tcPr>
          <w:p>
            <w:r/>
            <w:r>
              <w:rPr>
                <w:rFonts w:ascii="Cambria" w:hAnsi="Cambria"/>
                <w:b/>
                <w:color w:val="1F1F1F"/>
                <w:sz w:val="20"/>
              </w:rPr>
              <w:t>Actividades primarias</w:t>
            </w:r>
          </w:p>
        </w:tc>
        <w:tc>
          <w:tcPr>
            <w:tcW w:type="dxa" w:w="1368"/>
            <w:shd w:val="clear" w:color="auto" w:fill="EAF1FB"/>
          </w:tcPr>
          <w:p>
            <w:pPr>
              <w:jc w:val="right"/>
            </w:pPr>
            <w:r/>
            <w:r>
              <w:rPr>
                <w:rFonts w:ascii="Cambria" w:hAnsi="Cambria"/>
                <w:b/>
                <w:color w:val="2E7D32"/>
                <w:sz w:val="20"/>
              </w:rPr>
              <w:t>+13.5%</w:t>
            </w:r>
          </w:p>
        </w:tc>
        <w:tc>
          <w:tcPr>
            <w:tcW w:type="dxa" w:w="1728"/>
            <w:shd w:val="clear" w:color="auto" w:fill="EAF1FB"/>
          </w:tcPr>
          <w:p>
            <w:pPr>
              <w:jc w:val="right"/>
            </w:pPr>
            <w:r/>
            <w:r>
              <w:rPr>
                <w:rFonts w:ascii="Cambria" w:hAnsi="Cambria"/>
                <w:b/>
                <w:color w:val="2E7D32"/>
                <w:sz w:val="20"/>
              </w:rPr>
              <w:t>+13.5%</w:t>
            </w:r>
          </w:p>
        </w:tc>
        <w:tc>
          <w:tcPr>
            <w:tcW w:type="dxa" w:w="1512"/>
            <w:shd w:val="clear" w:color="auto" w:fill="EAF1FB"/>
          </w:tcPr>
          <w:p>
            <w:pPr>
              <w:jc w:val="right"/>
            </w:pPr>
            <w:r/>
            <w:r>
              <w:rPr>
                <w:rFonts w:ascii="Cambria" w:hAnsi="Cambria"/>
                <w:b/>
                <w:color w:val="2E7D32"/>
                <w:sz w:val="20"/>
              </w:rPr>
              <w:t>0.44</w:t>
            </w:r>
          </w:p>
        </w:tc>
      </w:tr>
      <w:tr>
        <w:trPr>
          <w:cantSplit/>
        </w:trPr>
        <w:tc>
          <w:tcPr>
            <w:tcW w:type="dxa" w:w="4752"/>
          </w:tcPr>
          <w:p>
            <w:r/>
            <w:r>
              <w:rPr>
                <w:rFonts w:ascii="Cambria" w:hAnsi="Cambria"/>
                <w:b w:val="0"/>
                <w:color w:val="1F1F1F"/>
                <w:sz w:val="20"/>
              </w:rPr>
              <w:t>111  Agricultura</w:t>
            </w:r>
          </w:p>
        </w:tc>
        <w:tc>
          <w:tcPr>
            <w:tcW w:type="dxa" w:w="1368"/>
          </w:tcPr>
          <w:p>
            <w:pPr>
              <w:jc w:val="right"/>
            </w:pPr>
            <w:r/>
            <w:r>
              <w:rPr>
                <w:rFonts w:ascii="Cambria" w:hAnsi="Cambria"/>
                <w:b w:val="0"/>
                <w:color w:val="2E7D32"/>
                <w:sz w:val="20"/>
              </w:rPr>
              <w:t>+19.9%</w:t>
            </w:r>
          </w:p>
        </w:tc>
        <w:tc>
          <w:tcPr>
            <w:tcW w:type="dxa" w:w="1728"/>
          </w:tcPr>
          <w:p>
            <w:pPr>
              <w:jc w:val="right"/>
            </w:pPr>
            <w:r/>
            <w:r>
              <w:rPr>
                <w:rFonts w:ascii="Cambria" w:hAnsi="Cambria"/>
                <w:b w:val="0"/>
                <w:color w:val="2E7D32"/>
                <w:sz w:val="20"/>
              </w:rPr>
              <w:t>+19.9%</w:t>
            </w:r>
          </w:p>
        </w:tc>
        <w:tc>
          <w:tcPr>
            <w:tcW w:type="dxa" w:w="1512"/>
          </w:tcPr>
          <w:p>
            <w:pPr>
              <w:jc w:val="right"/>
            </w:pPr>
            <w:r/>
            <w:r>
              <w:rPr>
                <w:rFonts w:ascii="Cambria" w:hAnsi="Cambria"/>
                <w:b w:val="0"/>
                <w:color w:val="2E7D32"/>
                <w:sz w:val="20"/>
              </w:rPr>
              <w:t>0.41</w:t>
            </w:r>
          </w:p>
        </w:tc>
      </w:tr>
      <w:tr>
        <w:trPr>
          <w:cantSplit/>
        </w:trPr>
        <w:tc>
          <w:tcPr>
            <w:tcW w:type="dxa" w:w="4752"/>
          </w:tcPr>
          <w:p>
            <w:r/>
            <w:r>
              <w:rPr>
                <w:rFonts w:ascii="Cambria" w:hAnsi="Cambria"/>
                <w:b w:val="0"/>
                <w:color w:val="1F1F1F"/>
                <w:sz w:val="20"/>
              </w:rPr>
              <w:t>112  Cría y explotación de animales</w:t>
            </w:r>
          </w:p>
        </w:tc>
        <w:tc>
          <w:tcPr>
            <w:tcW w:type="dxa" w:w="1368"/>
          </w:tcPr>
          <w:p>
            <w:pPr>
              <w:jc w:val="right"/>
            </w:pPr>
            <w:r/>
            <w:r>
              <w:rPr>
                <w:rFonts w:ascii="Cambria" w:hAnsi="Cambria"/>
                <w:b w:val="0"/>
                <w:color w:val="2E7D32"/>
                <w:sz w:val="20"/>
              </w:rPr>
              <w:t>+1.9%</w:t>
            </w:r>
          </w:p>
        </w:tc>
        <w:tc>
          <w:tcPr>
            <w:tcW w:type="dxa" w:w="1728"/>
          </w:tcPr>
          <w:p>
            <w:pPr>
              <w:jc w:val="right"/>
            </w:pPr>
            <w:r/>
            <w:r>
              <w:rPr>
                <w:rFonts w:ascii="Cambria" w:hAnsi="Cambria"/>
                <w:b w:val="0"/>
                <w:color w:val="2E7D32"/>
                <w:sz w:val="20"/>
              </w:rPr>
              <w:t>+1.9%</w:t>
            </w:r>
          </w:p>
        </w:tc>
        <w:tc>
          <w:tcPr>
            <w:tcW w:type="dxa" w:w="1512"/>
          </w:tcPr>
          <w:p>
            <w:pPr>
              <w:jc w:val="right"/>
            </w:pPr>
            <w:r/>
            <w:r>
              <w:rPr>
                <w:rFonts w:ascii="Cambria" w:hAnsi="Cambria"/>
                <w:b w:val="0"/>
                <w:color w:val="2E7D32"/>
                <w:sz w:val="20"/>
              </w:rPr>
              <w:t>0.02</w:t>
            </w:r>
          </w:p>
        </w:tc>
      </w:tr>
      <w:tr>
        <w:trPr>
          <w:cantSplit/>
        </w:trPr>
        <w:tc>
          <w:tcPr>
            <w:tcW w:type="dxa" w:w="4752"/>
            <w:shd w:val="clear" w:color="auto" w:fill="EAF1FB"/>
          </w:tcPr>
          <w:p>
            <w:r/>
            <w:r>
              <w:rPr>
                <w:rFonts w:ascii="Cambria" w:hAnsi="Cambria"/>
                <w:b/>
                <w:color w:val="1F1F1F"/>
                <w:sz w:val="20"/>
              </w:rPr>
              <w:t>Actividades secundarias</w:t>
            </w:r>
          </w:p>
        </w:tc>
        <w:tc>
          <w:tcPr>
            <w:tcW w:type="dxa" w:w="1368"/>
            <w:shd w:val="clear" w:color="auto" w:fill="EAF1FB"/>
          </w:tcPr>
          <w:p>
            <w:pPr>
              <w:jc w:val="right"/>
            </w:pPr>
            <w:r/>
            <w:r>
              <w:rPr>
                <w:rFonts w:ascii="Cambria" w:hAnsi="Cambria"/>
                <w:b/>
                <w:color w:val="C62828"/>
                <w:sz w:val="20"/>
              </w:rPr>
              <w:t>-3.8%</w:t>
            </w:r>
          </w:p>
        </w:tc>
        <w:tc>
          <w:tcPr>
            <w:tcW w:type="dxa" w:w="1728"/>
            <w:shd w:val="clear" w:color="auto" w:fill="EAF1FB"/>
          </w:tcPr>
          <w:p>
            <w:pPr>
              <w:jc w:val="right"/>
            </w:pPr>
            <w:r/>
            <w:r>
              <w:rPr>
                <w:rFonts w:ascii="Cambria" w:hAnsi="Cambria"/>
                <w:b/>
                <w:color w:val="C62828"/>
                <w:sz w:val="20"/>
              </w:rPr>
              <w:t>-3.8%</w:t>
            </w:r>
          </w:p>
        </w:tc>
        <w:tc>
          <w:tcPr>
            <w:tcW w:type="dxa" w:w="1512"/>
            <w:shd w:val="clear" w:color="auto" w:fill="EAF1FB"/>
          </w:tcPr>
          <w:p>
            <w:pPr>
              <w:jc w:val="right"/>
            </w:pPr>
            <w:r/>
            <w:r>
              <w:rPr>
                <w:rFonts w:ascii="Cambria" w:hAnsi="Cambria"/>
                <w:b/>
                <w:color w:val="C62828"/>
                <w:sz w:val="20"/>
              </w:rPr>
              <w:t>-1.31</w:t>
            </w:r>
          </w:p>
        </w:tc>
      </w:tr>
      <w:tr>
        <w:trPr>
          <w:cantSplit/>
        </w:trPr>
        <w:tc>
          <w:tcPr>
            <w:tcW w:type="dxa" w:w="4752"/>
          </w:tcPr>
          <w:p>
            <w:r/>
            <w:r>
              <w:rPr>
                <w:rFonts w:ascii="Cambria" w:hAnsi="Cambria"/>
                <w:b w:val="0"/>
                <w:color w:val="1F1F1F"/>
                <w:sz w:val="20"/>
              </w:rPr>
              <w:t>21  Minería</w:t>
            </w:r>
          </w:p>
        </w:tc>
        <w:tc>
          <w:tcPr>
            <w:tcW w:type="dxa" w:w="1368"/>
          </w:tcPr>
          <w:p>
            <w:pPr>
              <w:jc w:val="right"/>
            </w:pPr>
            <w:r/>
            <w:r>
              <w:rPr>
                <w:rFonts w:ascii="Cambria" w:hAnsi="Cambria"/>
                <w:b w:val="0"/>
                <w:color w:val="C62828"/>
                <w:sz w:val="20"/>
              </w:rPr>
              <w:t>-12.3%</w:t>
            </w:r>
          </w:p>
        </w:tc>
        <w:tc>
          <w:tcPr>
            <w:tcW w:type="dxa" w:w="1728"/>
          </w:tcPr>
          <w:p>
            <w:pPr>
              <w:jc w:val="right"/>
            </w:pPr>
            <w:r/>
            <w:r>
              <w:rPr>
                <w:rFonts w:ascii="Cambria" w:hAnsi="Cambria"/>
                <w:b w:val="0"/>
                <w:color w:val="C62828"/>
                <w:sz w:val="20"/>
              </w:rPr>
              <w:t>-12.3%</w:t>
            </w:r>
          </w:p>
        </w:tc>
        <w:tc>
          <w:tcPr>
            <w:tcW w:type="dxa" w:w="1512"/>
          </w:tcPr>
          <w:p>
            <w:pPr>
              <w:jc w:val="right"/>
            </w:pPr>
            <w:r/>
            <w:r>
              <w:rPr>
                <w:rFonts w:ascii="Cambria" w:hAnsi="Cambria"/>
                <w:b w:val="0"/>
                <w:color w:val="C62828"/>
                <w:sz w:val="20"/>
              </w:rPr>
              <w:t>-0.53</w:t>
            </w:r>
          </w:p>
        </w:tc>
      </w:tr>
      <w:tr>
        <w:trPr>
          <w:cantSplit/>
        </w:trPr>
        <w:tc>
          <w:tcPr>
            <w:tcW w:type="dxa" w:w="4752"/>
          </w:tcPr>
          <w:p>
            <w:r/>
            <w:r>
              <w:rPr>
                <w:rFonts w:ascii="Cambria" w:hAnsi="Cambria"/>
                <w:b w:val="0"/>
                <w:color w:val="1F1F1F"/>
                <w:sz w:val="20"/>
              </w:rPr>
              <w:t>22  Generación, transmisión, distribución y comercialización de energía eléctrica, suministro de agua y de gas natural por ductos al consumidor final</w:t>
            </w:r>
          </w:p>
        </w:tc>
        <w:tc>
          <w:tcPr>
            <w:tcW w:type="dxa" w:w="1368"/>
          </w:tcPr>
          <w:p>
            <w:pPr>
              <w:jc w:val="right"/>
            </w:pPr>
            <w:r/>
            <w:r>
              <w:rPr>
                <w:rFonts w:ascii="Cambria" w:hAnsi="Cambria"/>
                <w:b w:val="0"/>
                <w:color w:val="2E7D32"/>
                <w:sz w:val="20"/>
              </w:rPr>
              <w:t>+2.0%</w:t>
            </w:r>
          </w:p>
        </w:tc>
        <w:tc>
          <w:tcPr>
            <w:tcW w:type="dxa" w:w="1728"/>
          </w:tcPr>
          <w:p>
            <w:pPr>
              <w:jc w:val="right"/>
            </w:pPr>
            <w:r/>
            <w:r>
              <w:rPr>
                <w:rFonts w:ascii="Cambria" w:hAnsi="Cambria"/>
                <w:b w:val="0"/>
                <w:color w:val="2E7D32"/>
                <w:sz w:val="20"/>
              </w:rPr>
              <w:t>+2.0%</w:t>
            </w:r>
          </w:p>
        </w:tc>
        <w:tc>
          <w:tcPr>
            <w:tcW w:type="dxa" w:w="1512"/>
          </w:tcPr>
          <w:p>
            <w:pPr>
              <w:jc w:val="right"/>
            </w:pPr>
            <w:r/>
            <w:r>
              <w:rPr>
                <w:rFonts w:ascii="Cambria" w:hAnsi="Cambria"/>
                <w:b w:val="0"/>
                <w:color w:val="2E7D32"/>
                <w:sz w:val="20"/>
              </w:rPr>
              <w:t>0.02</w:t>
            </w:r>
          </w:p>
        </w:tc>
      </w:tr>
      <w:tr>
        <w:trPr>
          <w:cantSplit/>
        </w:trPr>
        <w:tc>
          <w:tcPr>
            <w:tcW w:type="dxa" w:w="4752"/>
          </w:tcPr>
          <w:p>
            <w:r/>
            <w:r>
              <w:rPr>
                <w:rFonts w:ascii="Cambria" w:hAnsi="Cambria"/>
                <w:b w:val="0"/>
                <w:color w:val="1F1F1F"/>
                <w:sz w:val="20"/>
              </w:rPr>
              <w:t>23  Construcción</w:t>
            </w:r>
          </w:p>
        </w:tc>
        <w:tc>
          <w:tcPr>
            <w:tcW w:type="dxa" w:w="1368"/>
          </w:tcPr>
          <w:p>
            <w:pPr>
              <w:jc w:val="right"/>
            </w:pPr>
            <w:r/>
            <w:r>
              <w:rPr>
                <w:rFonts w:ascii="Cambria" w:hAnsi="Cambria"/>
                <w:b w:val="0"/>
                <w:color w:val="C62828"/>
                <w:sz w:val="20"/>
              </w:rPr>
              <w:t>-8.9%</w:t>
            </w:r>
          </w:p>
        </w:tc>
        <w:tc>
          <w:tcPr>
            <w:tcW w:type="dxa" w:w="1728"/>
          </w:tcPr>
          <w:p>
            <w:pPr>
              <w:jc w:val="right"/>
            </w:pPr>
            <w:r/>
            <w:r>
              <w:rPr>
                <w:rFonts w:ascii="Cambria" w:hAnsi="Cambria"/>
                <w:b w:val="0"/>
                <w:color w:val="C62828"/>
                <w:sz w:val="20"/>
              </w:rPr>
              <w:t>-8.9%</w:t>
            </w:r>
          </w:p>
        </w:tc>
        <w:tc>
          <w:tcPr>
            <w:tcW w:type="dxa" w:w="1512"/>
          </w:tcPr>
          <w:p>
            <w:pPr>
              <w:jc w:val="right"/>
            </w:pPr>
            <w:r/>
            <w:r>
              <w:rPr>
                <w:rFonts w:ascii="Cambria" w:hAnsi="Cambria"/>
                <w:b w:val="0"/>
                <w:color w:val="C62828"/>
                <w:sz w:val="20"/>
              </w:rPr>
              <w:t>-0.60</w:t>
            </w:r>
          </w:p>
        </w:tc>
      </w:tr>
      <w:tr>
        <w:trPr>
          <w:cantSplit/>
        </w:trPr>
        <w:tc>
          <w:tcPr>
            <w:tcW w:type="dxa" w:w="4752"/>
          </w:tcPr>
          <w:p>
            <w:r/>
            <w:r>
              <w:rPr>
                <w:rFonts w:ascii="Cambria" w:hAnsi="Cambria"/>
                <w:b w:val="0"/>
                <w:color w:val="1F1F1F"/>
                <w:sz w:val="20"/>
              </w:rPr>
              <w:t>31-33  Industrias manufactureras</w:t>
            </w:r>
          </w:p>
        </w:tc>
        <w:tc>
          <w:tcPr>
            <w:tcW w:type="dxa" w:w="1368"/>
          </w:tcPr>
          <w:p>
            <w:pPr>
              <w:jc w:val="right"/>
            </w:pPr>
            <w:r/>
            <w:r>
              <w:rPr>
                <w:rFonts w:ascii="Cambria" w:hAnsi="Cambria"/>
                <w:b w:val="0"/>
                <w:color w:val="C62828"/>
                <w:sz w:val="20"/>
              </w:rPr>
              <w:t>-0.9%</w:t>
            </w:r>
          </w:p>
        </w:tc>
        <w:tc>
          <w:tcPr>
            <w:tcW w:type="dxa" w:w="1728"/>
          </w:tcPr>
          <w:p>
            <w:pPr>
              <w:jc w:val="right"/>
            </w:pPr>
            <w:r/>
            <w:r>
              <w:rPr>
                <w:rFonts w:ascii="Cambria" w:hAnsi="Cambria"/>
                <w:b w:val="0"/>
                <w:color w:val="C62828"/>
                <w:sz w:val="20"/>
              </w:rPr>
              <w:t>-0.9%</w:t>
            </w:r>
          </w:p>
        </w:tc>
        <w:tc>
          <w:tcPr>
            <w:tcW w:type="dxa" w:w="1512"/>
          </w:tcPr>
          <w:p>
            <w:pPr>
              <w:jc w:val="right"/>
            </w:pPr>
            <w:r/>
            <w:r>
              <w:rPr>
                <w:rFonts w:ascii="Cambria" w:hAnsi="Cambria"/>
                <w:b w:val="0"/>
                <w:color w:val="C62828"/>
                <w:sz w:val="20"/>
              </w:rPr>
              <w:t>-0.21</w:t>
            </w:r>
          </w:p>
        </w:tc>
      </w:tr>
      <w:tr>
        <w:trPr>
          <w:cantSplit/>
        </w:trPr>
        <w:tc>
          <w:tcPr>
            <w:tcW w:type="dxa" w:w="4752"/>
            <w:shd w:val="clear" w:color="auto" w:fill="EAF1FB"/>
          </w:tcPr>
          <w:p>
            <w:r/>
            <w:r>
              <w:rPr>
                <w:rFonts w:ascii="Cambria" w:hAnsi="Cambria"/>
                <w:b/>
                <w:color w:val="1F1F1F"/>
                <w:sz w:val="20"/>
              </w:rPr>
              <w:t>Actividades terciarias</w:t>
            </w:r>
          </w:p>
        </w:tc>
        <w:tc>
          <w:tcPr>
            <w:tcW w:type="dxa" w:w="1368"/>
            <w:shd w:val="clear" w:color="auto" w:fill="EAF1FB"/>
          </w:tcPr>
          <w:p>
            <w:pPr>
              <w:jc w:val="right"/>
            </w:pPr>
            <w:r/>
            <w:r>
              <w:rPr>
                <w:rFonts w:ascii="Cambria" w:hAnsi="Cambria"/>
                <w:b/>
                <w:color w:val="2E7D32"/>
                <w:sz w:val="20"/>
              </w:rPr>
              <w:t>+0.9%</w:t>
            </w:r>
          </w:p>
        </w:tc>
        <w:tc>
          <w:tcPr>
            <w:tcW w:type="dxa" w:w="1728"/>
            <w:shd w:val="clear" w:color="auto" w:fill="EAF1FB"/>
          </w:tcPr>
          <w:p>
            <w:pPr>
              <w:jc w:val="right"/>
            </w:pPr>
            <w:r/>
            <w:r>
              <w:rPr>
                <w:rFonts w:ascii="Cambria" w:hAnsi="Cambria"/>
                <w:b/>
                <w:color w:val="2E7D32"/>
                <w:sz w:val="20"/>
              </w:rPr>
              <w:t>+0.9%</w:t>
            </w:r>
          </w:p>
        </w:tc>
        <w:tc>
          <w:tcPr>
            <w:tcW w:type="dxa" w:w="1512"/>
            <w:shd w:val="clear" w:color="auto" w:fill="EAF1FB"/>
          </w:tcPr>
          <w:p>
            <w:pPr>
              <w:jc w:val="right"/>
            </w:pPr>
            <w:r/>
            <w:r>
              <w:rPr>
                <w:rFonts w:ascii="Cambria" w:hAnsi="Cambria"/>
                <w:b/>
                <w:color w:val="2E7D32"/>
                <w:sz w:val="20"/>
              </w:rPr>
              <w:t>0.53</w:t>
            </w:r>
          </w:p>
        </w:tc>
      </w:tr>
      <w:tr>
        <w:trPr>
          <w:cantSplit/>
        </w:trPr>
        <w:tc>
          <w:tcPr>
            <w:tcW w:type="dxa" w:w="4752"/>
          </w:tcPr>
          <w:p>
            <w:r/>
            <w:r>
              <w:rPr>
                <w:rFonts w:ascii="Cambria" w:hAnsi="Cambria"/>
                <w:b w:val="0"/>
                <w:color w:val="1F1F1F"/>
                <w:sz w:val="20"/>
              </w:rPr>
              <w:t>43  Comercio al por mayor</w:t>
            </w:r>
          </w:p>
        </w:tc>
        <w:tc>
          <w:tcPr>
            <w:tcW w:type="dxa" w:w="1368"/>
          </w:tcPr>
          <w:p>
            <w:pPr>
              <w:jc w:val="right"/>
            </w:pPr>
            <w:r/>
            <w:r>
              <w:rPr>
                <w:rFonts w:ascii="Cambria" w:hAnsi="Cambria"/>
                <w:b w:val="0"/>
                <w:color w:val="C62828"/>
                <w:sz w:val="20"/>
              </w:rPr>
              <w:t>-6.3%</w:t>
            </w:r>
          </w:p>
        </w:tc>
        <w:tc>
          <w:tcPr>
            <w:tcW w:type="dxa" w:w="1728"/>
          </w:tcPr>
          <w:p>
            <w:pPr>
              <w:jc w:val="right"/>
            </w:pPr>
            <w:r/>
            <w:r>
              <w:rPr>
                <w:rFonts w:ascii="Cambria" w:hAnsi="Cambria"/>
                <w:b w:val="0"/>
                <w:color w:val="C62828"/>
                <w:sz w:val="20"/>
              </w:rPr>
              <w:t>-6.3%</w:t>
            </w:r>
          </w:p>
        </w:tc>
        <w:tc>
          <w:tcPr>
            <w:tcW w:type="dxa" w:w="1512"/>
          </w:tcPr>
          <w:p>
            <w:pPr>
              <w:jc w:val="right"/>
            </w:pPr>
            <w:r/>
            <w:r>
              <w:rPr>
                <w:rFonts w:ascii="Cambria" w:hAnsi="Cambria"/>
                <w:b w:val="0"/>
                <w:color w:val="C62828"/>
                <w:sz w:val="20"/>
              </w:rPr>
              <w:t>-0.66</w:t>
            </w:r>
          </w:p>
        </w:tc>
      </w:tr>
      <w:tr>
        <w:trPr>
          <w:cantSplit/>
        </w:trPr>
        <w:tc>
          <w:tcPr>
            <w:tcW w:type="dxa" w:w="4752"/>
          </w:tcPr>
          <w:p>
            <w:r/>
            <w:r>
              <w:rPr>
                <w:rFonts w:ascii="Cambria" w:hAnsi="Cambria"/>
                <w:b w:val="0"/>
                <w:color w:val="1F1F1F"/>
                <w:sz w:val="20"/>
              </w:rPr>
              <w:t>46  Comercio al por menor</w:t>
            </w:r>
          </w:p>
        </w:tc>
        <w:tc>
          <w:tcPr>
            <w:tcW w:type="dxa" w:w="1368"/>
          </w:tcPr>
          <w:p>
            <w:pPr>
              <w:jc w:val="right"/>
            </w:pPr>
            <w:r/>
            <w:r>
              <w:rPr>
                <w:rFonts w:ascii="Cambria" w:hAnsi="Cambria"/>
                <w:b w:val="0"/>
                <w:color w:val="2E7D32"/>
                <w:sz w:val="20"/>
              </w:rPr>
              <w:t>+4.0%</w:t>
            </w:r>
          </w:p>
        </w:tc>
        <w:tc>
          <w:tcPr>
            <w:tcW w:type="dxa" w:w="1728"/>
          </w:tcPr>
          <w:p>
            <w:pPr>
              <w:jc w:val="right"/>
            </w:pPr>
            <w:r/>
            <w:r>
              <w:rPr>
                <w:rFonts w:ascii="Cambria" w:hAnsi="Cambria"/>
                <w:b w:val="0"/>
                <w:color w:val="2E7D32"/>
                <w:sz w:val="20"/>
              </w:rPr>
              <w:t>+4.0%</w:t>
            </w:r>
          </w:p>
        </w:tc>
        <w:tc>
          <w:tcPr>
            <w:tcW w:type="dxa" w:w="1512"/>
          </w:tcPr>
          <w:p>
            <w:pPr>
              <w:jc w:val="right"/>
            </w:pPr>
            <w:r/>
            <w:r>
              <w:rPr>
                <w:rFonts w:ascii="Cambria" w:hAnsi="Cambria"/>
                <w:b w:val="0"/>
                <w:color w:val="2E7D32"/>
                <w:sz w:val="20"/>
              </w:rPr>
              <w:t>0.42</w:t>
            </w:r>
          </w:p>
        </w:tc>
      </w:tr>
      <w:tr>
        <w:trPr>
          <w:cantSplit/>
        </w:trPr>
        <w:tc>
          <w:tcPr>
            <w:tcW w:type="dxa" w:w="4752"/>
          </w:tcPr>
          <w:p>
            <w:r/>
            <w:r>
              <w:rPr>
                <w:rFonts w:ascii="Cambria" w:hAnsi="Cambria"/>
                <w:b w:val="0"/>
                <w:color w:val="1F1F1F"/>
                <w:sz w:val="20"/>
              </w:rPr>
              <w:t>48-49  Transportes, correos y almacenamiento</w:t>
            </w:r>
          </w:p>
        </w:tc>
        <w:tc>
          <w:tcPr>
            <w:tcW w:type="dxa" w:w="1368"/>
          </w:tcPr>
          <w:p>
            <w:pPr>
              <w:jc w:val="right"/>
            </w:pPr>
            <w:r/>
            <w:r>
              <w:rPr>
                <w:rFonts w:ascii="Cambria" w:hAnsi="Cambria"/>
                <w:b w:val="0"/>
                <w:color w:val="2E7D32"/>
                <w:sz w:val="20"/>
              </w:rPr>
              <w:t>+0.8%</w:t>
            </w:r>
          </w:p>
        </w:tc>
        <w:tc>
          <w:tcPr>
            <w:tcW w:type="dxa" w:w="1728"/>
          </w:tcPr>
          <w:p>
            <w:pPr>
              <w:jc w:val="right"/>
            </w:pPr>
            <w:r/>
            <w:r>
              <w:rPr>
                <w:rFonts w:ascii="Cambria" w:hAnsi="Cambria"/>
                <w:b w:val="0"/>
                <w:color w:val="2E7D32"/>
                <w:sz w:val="20"/>
              </w:rPr>
              <w:t>+0.8%</w:t>
            </w:r>
          </w:p>
        </w:tc>
        <w:tc>
          <w:tcPr>
            <w:tcW w:type="dxa" w:w="1512"/>
          </w:tcPr>
          <w:p>
            <w:pPr>
              <w:jc w:val="right"/>
            </w:pPr>
            <w:r/>
            <w:r>
              <w:rPr>
                <w:rFonts w:ascii="Cambria" w:hAnsi="Cambria"/>
                <w:b w:val="0"/>
                <w:color w:val="2E7D32"/>
                <w:sz w:val="20"/>
              </w:rPr>
              <w:t>0.06</w:t>
            </w:r>
          </w:p>
        </w:tc>
      </w:tr>
      <w:tr>
        <w:trPr>
          <w:cantSplit/>
        </w:trPr>
        <w:tc>
          <w:tcPr>
            <w:tcW w:type="dxa" w:w="4752"/>
          </w:tcPr>
          <w:p>
            <w:r/>
            <w:r>
              <w:rPr>
                <w:rFonts w:ascii="Cambria" w:hAnsi="Cambria"/>
                <w:b w:val="0"/>
                <w:color w:val="1F1F1F"/>
                <w:sz w:val="20"/>
              </w:rPr>
              <w:t>51  Información en medios masivos</w:t>
            </w:r>
          </w:p>
        </w:tc>
        <w:tc>
          <w:tcPr>
            <w:tcW w:type="dxa" w:w="1368"/>
          </w:tcPr>
          <w:p>
            <w:pPr>
              <w:jc w:val="right"/>
            </w:pPr>
            <w:r/>
            <w:r>
              <w:rPr>
                <w:rFonts w:ascii="Cambria" w:hAnsi="Cambria"/>
                <w:b w:val="0"/>
                <w:color w:val="2E7D32"/>
                <w:sz w:val="20"/>
              </w:rPr>
              <w:t>+4.0%</w:t>
            </w:r>
          </w:p>
        </w:tc>
        <w:tc>
          <w:tcPr>
            <w:tcW w:type="dxa" w:w="1728"/>
          </w:tcPr>
          <w:p>
            <w:pPr>
              <w:jc w:val="right"/>
            </w:pPr>
            <w:r/>
            <w:r>
              <w:rPr>
                <w:rFonts w:ascii="Cambria" w:hAnsi="Cambria"/>
                <w:b w:val="0"/>
                <w:color w:val="2E7D32"/>
                <w:sz w:val="20"/>
              </w:rPr>
              <w:t>+4.0%</w:t>
            </w:r>
          </w:p>
        </w:tc>
        <w:tc>
          <w:tcPr>
            <w:tcW w:type="dxa" w:w="1512"/>
          </w:tcPr>
          <w:p>
            <w:pPr>
              <w:jc w:val="right"/>
            </w:pPr>
            <w:r/>
            <w:r>
              <w:rPr>
                <w:rFonts w:ascii="Cambria" w:hAnsi="Cambria"/>
                <w:b w:val="0"/>
                <w:color w:val="2E7D32"/>
                <w:sz w:val="20"/>
              </w:rPr>
              <w:t>0.08</w:t>
            </w:r>
          </w:p>
        </w:tc>
      </w:tr>
      <w:tr>
        <w:trPr>
          <w:cantSplit/>
        </w:trPr>
        <w:tc>
          <w:tcPr>
            <w:tcW w:type="dxa" w:w="4752"/>
          </w:tcPr>
          <w:p>
            <w:r/>
            <w:r>
              <w:rPr>
                <w:rFonts w:ascii="Cambria" w:hAnsi="Cambria"/>
                <w:b w:val="0"/>
                <w:color w:val="1F1F1F"/>
                <w:sz w:val="20"/>
              </w:rPr>
              <w:t>52  Servicios financieros y de seguros</w:t>
            </w:r>
          </w:p>
        </w:tc>
        <w:tc>
          <w:tcPr>
            <w:tcW w:type="dxa" w:w="1368"/>
          </w:tcPr>
          <w:p>
            <w:pPr>
              <w:jc w:val="right"/>
            </w:pPr>
            <w:r/>
            <w:r>
              <w:rPr>
                <w:rFonts w:ascii="Cambria" w:hAnsi="Cambria"/>
                <w:b w:val="0"/>
                <w:color w:val="2E7D32"/>
                <w:sz w:val="20"/>
              </w:rPr>
              <w:t>+1.5%</w:t>
            </w:r>
          </w:p>
        </w:tc>
        <w:tc>
          <w:tcPr>
            <w:tcW w:type="dxa" w:w="1728"/>
          </w:tcPr>
          <w:p>
            <w:pPr>
              <w:jc w:val="right"/>
            </w:pPr>
            <w:r/>
            <w:r>
              <w:rPr>
                <w:rFonts w:ascii="Cambria" w:hAnsi="Cambria"/>
                <w:b w:val="0"/>
                <w:color w:val="2E7D32"/>
                <w:sz w:val="20"/>
              </w:rPr>
              <w:t>+1.5%</w:t>
            </w:r>
          </w:p>
        </w:tc>
        <w:tc>
          <w:tcPr>
            <w:tcW w:type="dxa" w:w="1512"/>
          </w:tcPr>
          <w:p>
            <w:pPr>
              <w:jc w:val="right"/>
            </w:pPr>
            <w:r/>
            <w:r>
              <w:rPr>
                <w:rFonts w:ascii="Cambria" w:hAnsi="Cambria"/>
                <w:b w:val="0"/>
                <w:color w:val="2E7D32"/>
                <w:sz w:val="20"/>
              </w:rPr>
              <w:t>0.05</w:t>
            </w:r>
          </w:p>
        </w:tc>
      </w:tr>
      <w:tr>
        <w:trPr>
          <w:cantSplit/>
        </w:trPr>
        <w:tc>
          <w:tcPr>
            <w:tcW w:type="dxa" w:w="4752"/>
          </w:tcPr>
          <w:p>
            <w:r/>
            <w:r>
              <w:rPr>
                <w:rFonts w:ascii="Cambria" w:hAnsi="Cambria"/>
                <w:b w:val="0"/>
                <w:color w:val="1F1F1F"/>
                <w:sz w:val="20"/>
              </w:rPr>
              <w:t>53  Servicios inmobiliarios y de alquiler de bienes muebles e intangibles</w:t>
            </w:r>
          </w:p>
        </w:tc>
        <w:tc>
          <w:tcPr>
            <w:tcW w:type="dxa" w:w="1368"/>
          </w:tcPr>
          <w:p>
            <w:pPr>
              <w:jc w:val="right"/>
            </w:pPr>
            <w:r/>
            <w:r>
              <w:rPr>
                <w:rFonts w:ascii="Cambria" w:hAnsi="Cambria"/>
                <w:b w:val="0"/>
                <w:color w:val="2E7D32"/>
                <w:sz w:val="20"/>
              </w:rPr>
              <w:t>+1.9%</w:t>
            </w:r>
          </w:p>
        </w:tc>
        <w:tc>
          <w:tcPr>
            <w:tcW w:type="dxa" w:w="1728"/>
          </w:tcPr>
          <w:p>
            <w:pPr>
              <w:jc w:val="right"/>
            </w:pPr>
            <w:r/>
            <w:r>
              <w:rPr>
                <w:rFonts w:ascii="Cambria" w:hAnsi="Cambria"/>
                <w:b w:val="0"/>
                <w:color w:val="2E7D32"/>
                <w:sz w:val="20"/>
              </w:rPr>
              <w:t>+1.9%</w:t>
            </w:r>
          </w:p>
        </w:tc>
        <w:tc>
          <w:tcPr>
            <w:tcW w:type="dxa" w:w="1512"/>
          </w:tcPr>
          <w:p>
            <w:pPr>
              <w:jc w:val="right"/>
            </w:pPr>
            <w:r/>
            <w:r>
              <w:rPr>
                <w:rFonts w:ascii="Cambria" w:hAnsi="Cambria"/>
                <w:b w:val="0"/>
                <w:color w:val="2E7D32"/>
                <w:sz w:val="20"/>
              </w:rPr>
              <w:t>0.19</w:t>
            </w:r>
          </w:p>
        </w:tc>
      </w:tr>
      <w:tr>
        <w:trPr>
          <w:cantSplit/>
        </w:trPr>
        <w:tc>
          <w:tcPr>
            <w:tcW w:type="dxa" w:w="4752"/>
          </w:tcPr>
          <w:p>
            <w:r/>
            <w:r>
              <w:rPr>
                <w:rFonts w:ascii="Cambria" w:hAnsi="Cambria"/>
                <w:b w:val="0"/>
                <w:color w:val="1F1F1F"/>
                <w:sz w:val="20"/>
              </w:rPr>
              <w:t>54  Servicios profesionales, científicos y técnicos</w:t>
            </w:r>
          </w:p>
        </w:tc>
        <w:tc>
          <w:tcPr>
            <w:tcW w:type="dxa" w:w="1368"/>
          </w:tcPr>
          <w:p>
            <w:pPr>
              <w:jc w:val="right"/>
            </w:pPr>
            <w:r/>
            <w:r>
              <w:rPr>
                <w:rFonts w:ascii="Cambria" w:hAnsi="Cambria"/>
                <w:b w:val="0"/>
                <w:color w:val="2E7D32"/>
                <w:sz w:val="20"/>
              </w:rPr>
              <w:t>+11.7%</w:t>
            </w:r>
          </w:p>
        </w:tc>
        <w:tc>
          <w:tcPr>
            <w:tcW w:type="dxa" w:w="1728"/>
          </w:tcPr>
          <w:p>
            <w:pPr>
              <w:jc w:val="right"/>
            </w:pPr>
            <w:r/>
            <w:r>
              <w:rPr>
                <w:rFonts w:ascii="Cambria" w:hAnsi="Cambria"/>
                <w:b w:val="0"/>
                <w:color w:val="2E7D32"/>
                <w:sz w:val="20"/>
              </w:rPr>
              <w:t>+11.7%</w:t>
            </w:r>
          </w:p>
        </w:tc>
        <w:tc>
          <w:tcPr>
            <w:tcW w:type="dxa" w:w="1512"/>
          </w:tcPr>
          <w:p>
            <w:pPr>
              <w:jc w:val="right"/>
            </w:pPr>
            <w:r/>
            <w:r>
              <w:rPr>
                <w:rFonts w:ascii="Cambria" w:hAnsi="Cambria"/>
                <w:b w:val="0"/>
                <w:color w:val="2E7D32"/>
                <w:sz w:val="20"/>
              </w:rPr>
              <w:t>0.25</w:t>
            </w:r>
          </w:p>
        </w:tc>
      </w:tr>
      <w:tr>
        <w:trPr>
          <w:cantSplit/>
        </w:trPr>
        <w:tc>
          <w:tcPr>
            <w:tcW w:type="dxa" w:w="4752"/>
          </w:tcPr>
          <w:p>
            <w:r/>
            <w:r>
              <w:rPr>
                <w:rFonts w:ascii="Cambria" w:hAnsi="Cambria"/>
                <w:b w:val="0"/>
                <w:color w:val="1F1F1F"/>
                <w:sz w:val="20"/>
              </w:rPr>
              <w:t>56  Servicios de apoyo a los negocios y manejo de residuos, y servicios de remediación</w:t>
            </w:r>
          </w:p>
        </w:tc>
        <w:tc>
          <w:tcPr>
            <w:tcW w:type="dxa" w:w="1368"/>
          </w:tcPr>
          <w:p>
            <w:pPr>
              <w:jc w:val="right"/>
            </w:pPr>
            <w:r/>
            <w:r>
              <w:rPr>
                <w:rFonts w:ascii="Cambria" w:hAnsi="Cambria"/>
                <w:b w:val="0"/>
                <w:color w:val="2E7D32"/>
                <w:sz w:val="20"/>
              </w:rPr>
              <w:t>+15.2%</w:t>
            </w:r>
          </w:p>
        </w:tc>
        <w:tc>
          <w:tcPr>
            <w:tcW w:type="dxa" w:w="1728"/>
          </w:tcPr>
          <w:p>
            <w:pPr>
              <w:jc w:val="right"/>
            </w:pPr>
            <w:r/>
            <w:r>
              <w:rPr>
                <w:rFonts w:ascii="Cambria" w:hAnsi="Cambria"/>
                <w:b w:val="0"/>
                <w:color w:val="2E7D32"/>
                <w:sz w:val="20"/>
              </w:rPr>
              <w:t>+15.2%</w:t>
            </w:r>
          </w:p>
        </w:tc>
        <w:tc>
          <w:tcPr>
            <w:tcW w:type="dxa" w:w="1512"/>
          </w:tcPr>
          <w:p>
            <w:pPr>
              <w:jc w:val="right"/>
            </w:pPr>
            <w:r/>
            <w:r>
              <w:rPr>
                <w:rFonts w:ascii="Cambria" w:hAnsi="Cambria"/>
                <w:b w:val="0"/>
                <w:color w:val="2E7D32"/>
                <w:sz w:val="20"/>
              </w:rPr>
              <w:t>0.11</w:t>
            </w:r>
          </w:p>
        </w:tc>
      </w:tr>
      <w:tr>
        <w:trPr>
          <w:cantSplit/>
        </w:trPr>
        <w:tc>
          <w:tcPr>
            <w:tcW w:type="dxa" w:w="4752"/>
          </w:tcPr>
          <w:p>
            <w:r/>
            <w:r>
              <w:rPr>
                <w:rFonts w:ascii="Cambria" w:hAnsi="Cambria"/>
                <w:b w:val="0"/>
                <w:color w:val="1F1F1F"/>
                <w:sz w:val="20"/>
              </w:rPr>
              <w:t>61  Servicios educativos</w:t>
            </w:r>
          </w:p>
        </w:tc>
        <w:tc>
          <w:tcPr>
            <w:tcW w:type="dxa" w:w="1368"/>
          </w:tcPr>
          <w:p>
            <w:pPr>
              <w:jc w:val="right"/>
            </w:pPr>
            <w:r/>
            <w:r>
              <w:rPr>
                <w:rFonts w:ascii="Cambria" w:hAnsi="Cambria"/>
                <w:b w:val="0"/>
                <w:color w:val="2E7D32"/>
                <w:sz w:val="20"/>
              </w:rPr>
              <w:t>+0.6%</w:t>
            </w:r>
          </w:p>
        </w:tc>
        <w:tc>
          <w:tcPr>
            <w:tcW w:type="dxa" w:w="1728"/>
          </w:tcPr>
          <w:p>
            <w:pPr>
              <w:jc w:val="right"/>
            </w:pPr>
            <w:r/>
            <w:r>
              <w:rPr>
                <w:rFonts w:ascii="Cambria" w:hAnsi="Cambria"/>
                <w:b w:val="0"/>
                <w:color w:val="2E7D32"/>
                <w:sz w:val="20"/>
              </w:rPr>
              <w:t>+0.6%</w:t>
            </w:r>
          </w:p>
        </w:tc>
        <w:tc>
          <w:tcPr>
            <w:tcW w:type="dxa" w:w="1512"/>
          </w:tcPr>
          <w:p>
            <w:pPr>
              <w:jc w:val="right"/>
            </w:pPr>
            <w:r/>
            <w:r>
              <w:rPr>
                <w:rFonts w:ascii="Cambria" w:hAnsi="Cambria"/>
                <w:b w:val="0"/>
                <w:color w:val="2E7D32"/>
                <w:sz w:val="20"/>
              </w:rPr>
              <w:t>0.02</w:t>
            </w:r>
          </w:p>
        </w:tc>
      </w:tr>
      <w:tr>
        <w:trPr>
          <w:cantSplit/>
        </w:trPr>
        <w:tc>
          <w:tcPr>
            <w:tcW w:type="dxa" w:w="4752"/>
          </w:tcPr>
          <w:p>
            <w:r/>
            <w:r>
              <w:rPr>
                <w:rFonts w:ascii="Cambria" w:hAnsi="Cambria"/>
                <w:b w:val="0"/>
                <w:color w:val="1F1F1F"/>
                <w:sz w:val="20"/>
              </w:rPr>
              <w:t>62  Servicios de salud y de asistencia social</w:t>
            </w:r>
          </w:p>
        </w:tc>
        <w:tc>
          <w:tcPr>
            <w:tcW w:type="dxa" w:w="1368"/>
          </w:tcPr>
          <w:p>
            <w:pPr>
              <w:jc w:val="right"/>
            </w:pPr>
            <w:r/>
            <w:r>
              <w:rPr>
                <w:rFonts w:ascii="Cambria" w:hAnsi="Cambria"/>
                <w:b w:val="0"/>
                <w:color w:val="2E7D32"/>
                <w:sz w:val="20"/>
              </w:rPr>
              <w:t>+4.1%</w:t>
            </w:r>
          </w:p>
        </w:tc>
        <w:tc>
          <w:tcPr>
            <w:tcW w:type="dxa" w:w="1728"/>
          </w:tcPr>
          <w:p>
            <w:pPr>
              <w:jc w:val="right"/>
            </w:pPr>
            <w:r/>
            <w:r>
              <w:rPr>
                <w:rFonts w:ascii="Cambria" w:hAnsi="Cambria"/>
                <w:b w:val="0"/>
                <w:color w:val="2E7D32"/>
                <w:sz w:val="20"/>
              </w:rPr>
              <w:t>+4.1%</w:t>
            </w:r>
          </w:p>
        </w:tc>
        <w:tc>
          <w:tcPr>
            <w:tcW w:type="dxa" w:w="1512"/>
          </w:tcPr>
          <w:p>
            <w:pPr>
              <w:jc w:val="right"/>
            </w:pPr>
            <w:r/>
            <w:r>
              <w:rPr>
                <w:rFonts w:ascii="Cambria" w:hAnsi="Cambria"/>
                <w:b w:val="0"/>
                <w:color w:val="2E7D32"/>
                <w:sz w:val="20"/>
              </w:rPr>
              <w:t>0.08</w:t>
            </w:r>
          </w:p>
        </w:tc>
      </w:tr>
      <w:tr>
        <w:trPr>
          <w:cantSplit/>
        </w:trPr>
        <w:tc>
          <w:tcPr>
            <w:tcW w:type="dxa" w:w="4752"/>
          </w:tcPr>
          <w:p>
            <w:r/>
            <w:r>
              <w:rPr>
                <w:rFonts w:ascii="Cambria" w:hAnsi="Cambria"/>
                <w:b w:val="0"/>
                <w:color w:val="1F1F1F"/>
                <w:sz w:val="20"/>
              </w:rPr>
              <w:t>71  Servicios de esparcimiento culturales y deportivos, y otros servicios recreativos</w:t>
            </w:r>
          </w:p>
        </w:tc>
        <w:tc>
          <w:tcPr>
            <w:tcW w:type="dxa" w:w="1368"/>
          </w:tcPr>
          <w:p>
            <w:pPr>
              <w:jc w:val="right"/>
            </w:pPr>
            <w:r/>
            <w:r>
              <w:rPr>
                <w:rFonts w:ascii="Cambria" w:hAnsi="Cambria"/>
                <w:b w:val="0"/>
                <w:color w:val="2E7D32"/>
                <w:sz w:val="20"/>
              </w:rPr>
              <w:t>+1.0%</w:t>
            </w:r>
          </w:p>
        </w:tc>
        <w:tc>
          <w:tcPr>
            <w:tcW w:type="dxa" w:w="1728"/>
          </w:tcPr>
          <w:p>
            <w:pPr>
              <w:jc w:val="right"/>
            </w:pPr>
            <w:r/>
            <w:r>
              <w:rPr>
                <w:rFonts w:ascii="Cambria" w:hAnsi="Cambria"/>
                <w:b w:val="0"/>
                <w:color w:val="2E7D32"/>
                <w:sz w:val="20"/>
              </w:rPr>
              <w:t>+1.0%</w:t>
            </w:r>
          </w:p>
        </w:tc>
        <w:tc>
          <w:tcPr>
            <w:tcW w:type="dxa" w:w="1512"/>
          </w:tcPr>
          <w:p>
            <w:pPr>
              <w:jc w:val="right"/>
            </w:pPr>
            <w:r/>
            <w:r>
              <w:rPr>
                <w:rFonts w:ascii="Cambria" w:hAnsi="Cambria"/>
                <w:b w:val="0"/>
                <w:color w:val="1F1F1F"/>
                <w:sz w:val="20"/>
              </w:rPr>
              <w:t>0.00</w:t>
            </w:r>
          </w:p>
        </w:tc>
      </w:tr>
      <w:tr>
        <w:trPr>
          <w:cantSplit/>
        </w:trPr>
        <w:tc>
          <w:tcPr>
            <w:tcW w:type="dxa" w:w="4752"/>
          </w:tcPr>
          <w:p>
            <w:r/>
            <w:r>
              <w:rPr>
                <w:rFonts w:ascii="Cambria" w:hAnsi="Cambria"/>
                <w:b w:val="0"/>
                <w:color w:val="1F1F1F"/>
                <w:sz w:val="20"/>
              </w:rPr>
              <w:t>72  Servicios de alojamiento temporal y de preparación de alimentos y bebidas</w:t>
            </w:r>
          </w:p>
        </w:tc>
        <w:tc>
          <w:tcPr>
            <w:tcW w:type="dxa" w:w="1368"/>
          </w:tcPr>
          <w:p>
            <w:pPr>
              <w:jc w:val="right"/>
            </w:pPr>
            <w:r/>
            <w:r>
              <w:rPr>
                <w:rFonts w:ascii="Cambria" w:hAnsi="Cambria"/>
                <w:b w:val="0"/>
                <w:color w:val="C62828"/>
                <w:sz w:val="20"/>
              </w:rPr>
              <w:t>-1.6%</w:t>
            </w:r>
          </w:p>
        </w:tc>
        <w:tc>
          <w:tcPr>
            <w:tcW w:type="dxa" w:w="1728"/>
          </w:tcPr>
          <w:p>
            <w:pPr>
              <w:jc w:val="right"/>
            </w:pPr>
            <w:r/>
            <w:r>
              <w:rPr>
                <w:rFonts w:ascii="Cambria" w:hAnsi="Cambria"/>
                <w:b w:val="0"/>
                <w:color w:val="C62828"/>
                <w:sz w:val="20"/>
              </w:rPr>
              <w:t>-1.6%</w:t>
            </w:r>
          </w:p>
        </w:tc>
        <w:tc>
          <w:tcPr>
            <w:tcW w:type="dxa" w:w="1512"/>
          </w:tcPr>
          <w:p>
            <w:pPr>
              <w:jc w:val="right"/>
            </w:pPr>
            <w:r/>
            <w:r>
              <w:rPr>
                <w:rFonts w:ascii="Cambria" w:hAnsi="Cambria"/>
                <w:b w:val="0"/>
                <w:color w:val="C62828"/>
                <w:sz w:val="20"/>
              </w:rPr>
              <w:t>-0.04</w:t>
            </w:r>
          </w:p>
        </w:tc>
      </w:tr>
      <w:tr>
        <w:trPr>
          <w:cantSplit/>
        </w:trPr>
        <w:tc>
          <w:tcPr>
            <w:tcW w:type="dxa" w:w="4752"/>
          </w:tcPr>
          <w:p>
            <w:r/>
            <w:r>
              <w:rPr>
                <w:rFonts w:ascii="Cambria" w:hAnsi="Cambria"/>
                <w:b w:val="0"/>
                <w:color w:val="1F1F1F"/>
                <w:sz w:val="20"/>
              </w:rPr>
              <w:t>81  Otros servicios excepto actividades gubernamentales</w:t>
            </w:r>
          </w:p>
        </w:tc>
        <w:tc>
          <w:tcPr>
            <w:tcW w:type="dxa" w:w="1368"/>
          </w:tcPr>
          <w:p>
            <w:pPr>
              <w:jc w:val="right"/>
            </w:pPr>
            <w:r/>
            <w:r>
              <w:rPr>
                <w:rFonts w:ascii="Cambria" w:hAnsi="Cambria"/>
                <w:b w:val="0"/>
                <w:color w:val="C62828"/>
                <w:sz w:val="20"/>
              </w:rPr>
              <w:t>-2.0%</w:t>
            </w:r>
          </w:p>
        </w:tc>
        <w:tc>
          <w:tcPr>
            <w:tcW w:type="dxa" w:w="1728"/>
          </w:tcPr>
          <w:p>
            <w:pPr>
              <w:jc w:val="right"/>
            </w:pPr>
            <w:r/>
            <w:r>
              <w:rPr>
                <w:rFonts w:ascii="Cambria" w:hAnsi="Cambria"/>
                <w:b w:val="0"/>
                <w:color w:val="C62828"/>
                <w:sz w:val="20"/>
              </w:rPr>
              <w:t>-2.0%</w:t>
            </w:r>
          </w:p>
        </w:tc>
        <w:tc>
          <w:tcPr>
            <w:tcW w:type="dxa" w:w="1512"/>
          </w:tcPr>
          <w:p>
            <w:pPr>
              <w:jc w:val="right"/>
            </w:pPr>
            <w:r/>
            <w:r>
              <w:rPr>
                <w:rFonts w:ascii="Cambria" w:hAnsi="Cambria"/>
                <w:b w:val="0"/>
                <w:color w:val="C62828"/>
                <w:sz w:val="20"/>
              </w:rPr>
              <w:t>-0.04</w:t>
            </w:r>
          </w:p>
        </w:tc>
      </w:tr>
      <w:tr>
        <w:trPr>
          <w:cantSplit/>
        </w:trPr>
        <w:tc>
          <w:tcPr>
            <w:tcW w:type="dxa" w:w="4752"/>
          </w:tcPr>
          <w:p>
            <w:r/>
            <w:r>
              <w:rPr>
                <w:rFonts w:ascii="Cambria" w:hAnsi="Cambria"/>
                <w:b w:val="0"/>
                <w:color w:val="1F1F1F"/>
                <w:sz w:val="20"/>
              </w:rPr>
              <w:t>93  Actividades legislativas, gubernamentales, de impartición de justicia y de organismos internacionales y extraterritoriales</w:t>
            </w:r>
          </w:p>
        </w:tc>
        <w:tc>
          <w:tcPr>
            <w:tcW w:type="dxa" w:w="1368"/>
          </w:tcPr>
          <w:p>
            <w:pPr>
              <w:jc w:val="right"/>
            </w:pPr>
            <w:r/>
            <w:r>
              <w:rPr>
                <w:rFonts w:ascii="Cambria" w:hAnsi="Cambria"/>
                <w:b w:val="0"/>
                <w:color w:val="C62828"/>
                <w:sz w:val="20"/>
              </w:rPr>
              <w:t>-0.6%</w:t>
            </w:r>
          </w:p>
        </w:tc>
        <w:tc>
          <w:tcPr>
            <w:tcW w:type="dxa" w:w="1728"/>
          </w:tcPr>
          <w:p>
            <w:pPr>
              <w:jc w:val="right"/>
            </w:pPr>
            <w:r/>
            <w:r>
              <w:rPr>
                <w:rFonts w:ascii="Cambria" w:hAnsi="Cambria"/>
                <w:b w:val="0"/>
                <w:color w:val="C62828"/>
                <w:sz w:val="20"/>
              </w:rPr>
              <w:t>-0.6%</w:t>
            </w:r>
          </w:p>
        </w:tc>
        <w:tc>
          <w:tcPr>
            <w:tcW w:type="dxa" w:w="1512"/>
          </w:tcPr>
          <w:p>
            <w:pPr>
              <w:jc w:val="right"/>
            </w:pPr>
            <w:r/>
            <w:r>
              <w:rPr>
                <w:rFonts w:ascii="Cambria" w:hAnsi="Cambria"/>
                <w:b w:val="0"/>
                <w:color w:val="C62828"/>
                <w:sz w:val="20"/>
              </w:rPr>
              <w:t>-0.02</w:t>
            </w:r>
          </w:p>
        </w:tc>
      </w:tr>
    </w:tbl>
    <w:p/>
    <w:p>
      <w:pPr>
        <w:pStyle w:val="Heading1"/>
      </w:pPr>
      <w:r>
        <w:rPr>
          <w:rFonts w:ascii="Calibri Light" w:hAnsi="Calibri Light"/>
          <w:b/>
          <w:color w:val="4F81BD"/>
          <w:sz w:val="32"/>
        </w:rPr>
        <w:t>Tendencias Históricas</w:t>
      </w:r>
    </w:p>
    <w:p>
      <w:r>
        <w:rPr>
          <w:rFonts w:ascii="Cambria" w:hAnsi="Cambria"/>
          <w:b w:val="0"/>
          <w:color w:val="1F1F1F"/>
          <w:sz w:val="22"/>
        </w:rPr>
        <w:t>La siguiente tabla muestra el comportamiento del índice para los tres grandes sectores económicos (primarias, secundarias y terciarias) en los últimos 12 meses, lo que permite identificar la tendencia reciente de cada uno.</w:t>
      </w:r>
    </w:p>
    <w:tbl>
      <w:tblPr>
        <w:tblStyle w:val="TableGrid"/>
        <w:tblW w:type="auto" w:w="0"/>
        <w:jc w:val="left"/>
        <w:tblLayout w:type="fixed"/>
        <w:tblLook w:firstColumn="1" w:firstRow="1" w:lastColumn="0" w:lastRow="0" w:noHBand="0" w:noVBand="1" w:val="04A0"/>
      </w:tblPr>
      <w:tblGrid>
        <w:gridCol w:w="2304"/>
        <w:gridCol w:w="2304"/>
        <w:gridCol w:w="2304"/>
        <w:gridCol w:w="2304"/>
      </w:tblGrid>
      <w:tr>
        <w:trPr>
          <w:tblHeader/>
          <w:cantSplit/>
        </w:trPr>
        <w:tc>
          <w:tcPr>
            <w:tcW w:type="dxa" w:w="2304"/>
            <w:shd w:val="clear" w:color="auto" w:fill="D9E2F3"/>
          </w:tcPr>
          <w:p>
            <w:r/>
            <w:r>
              <w:rPr>
                <w:rFonts w:ascii="Cambria" w:hAnsi="Cambria"/>
                <w:b/>
                <w:color w:val="1F1F1F"/>
                <w:sz w:val="20"/>
              </w:rPr>
              <w:t>Periodo</w:t>
            </w:r>
          </w:p>
        </w:tc>
        <w:tc>
          <w:tcPr>
            <w:tcW w:type="dxa" w:w="2304"/>
            <w:shd w:val="clear" w:color="auto" w:fill="D9E2F3"/>
          </w:tcPr>
          <w:p>
            <w:pPr>
              <w:jc w:val="right"/>
            </w:pPr>
            <w:r/>
            <w:r>
              <w:rPr>
                <w:rFonts w:ascii="Cambria" w:hAnsi="Cambria"/>
                <w:b/>
                <w:color w:val="1F1F1F"/>
                <w:sz w:val="20"/>
              </w:rPr>
              <w:t>Primarias</w:t>
            </w:r>
          </w:p>
        </w:tc>
        <w:tc>
          <w:tcPr>
            <w:tcW w:type="dxa" w:w="2304"/>
            <w:shd w:val="clear" w:color="auto" w:fill="D9E2F3"/>
          </w:tcPr>
          <w:p>
            <w:pPr>
              <w:jc w:val="right"/>
            </w:pPr>
            <w:r/>
            <w:r>
              <w:rPr>
                <w:rFonts w:ascii="Cambria" w:hAnsi="Cambria"/>
                <w:b/>
                <w:color w:val="1F1F1F"/>
                <w:sz w:val="20"/>
              </w:rPr>
              <w:t>Secundarias</w:t>
            </w:r>
          </w:p>
        </w:tc>
        <w:tc>
          <w:tcPr>
            <w:tcW w:type="dxa" w:w="2304"/>
            <w:shd w:val="clear" w:color="auto" w:fill="D9E2F3"/>
          </w:tcPr>
          <w:p>
            <w:pPr>
              <w:jc w:val="right"/>
            </w:pPr>
            <w:r/>
            <w:r>
              <w:rPr>
                <w:rFonts w:ascii="Cambria" w:hAnsi="Cambria"/>
                <w:b/>
                <w:color w:val="1F1F1F"/>
                <w:sz w:val="20"/>
              </w:rPr>
              <w:t>Terciarias</w:t>
            </w:r>
          </w:p>
        </w:tc>
      </w:tr>
      <w:tr>
        <w:trPr>
          <w:cantSplit/>
        </w:trPr>
        <w:tc>
          <w:tcPr>
            <w:tcW w:type="dxa" w:w="2304"/>
          </w:tcPr>
          <w:p>
            <w:r/>
            <w:r>
              <w:rPr>
                <w:rFonts w:ascii="Cambria" w:hAnsi="Cambria"/>
                <w:b w:val="0"/>
                <w:color w:val="1F1F1F"/>
                <w:sz w:val="20"/>
              </w:rPr>
              <w:t>feb-24</w:t>
            </w:r>
          </w:p>
        </w:tc>
        <w:tc>
          <w:tcPr>
            <w:tcW w:type="dxa" w:w="2304"/>
          </w:tcPr>
          <w:p>
            <w:pPr>
              <w:jc w:val="right"/>
            </w:pPr>
            <w:r/>
            <w:r>
              <w:rPr>
                <w:rFonts w:ascii="Cambria" w:hAnsi="Cambria"/>
                <w:b w:val="0"/>
                <w:color w:val="1F1F1F"/>
                <w:sz w:val="20"/>
              </w:rPr>
              <w:t>101.4</w:t>
            </w:r>
          </w:p>
        </w:tc>
        <w:tc>
          <w:tcPr>
            <w:tcW w:type="dxa" w:w="2304"/>
          </w:tcPr>
          <w:p>
            <w:pPr>
              <w:jc w:val="right"/>
            </w:pPr>
            <w:r/>
            <w:r>
              <w:rPr>
                <w:rFonts w:ascii="Cambria" w:hAnsi="Cambria"/>
                <w:b w:val="0"/>
                <w:color w:val="1F1F1F"/>
                <w:sz w:val="20"/>
              </w:rPr>
              <w:t>98.5</w:t>
            </w:r>
          </w:p>
        </w:tc>
        <w:tc>
          <w:tcPr>
            <w:tcW w:type="dxa" w:w="2304"/>
          </w:tcPr>
          <w:p>
            <w:pPr>
              <w:jc w:val="right"/>
            </w:pPr>
            <w:r/>
            <w:r>
              <w:rPr>
                <w:rFonts w:ascii="Cambria" w:hAnsi="Cambria"/>
                <w:b w:val="0"/>
                <w:color w:val="1F1F1F"/>
                <w:sz w:val="20"/>
              </w:rPr>
              <w:t>103.0</w:t>
            </w:r>
          </w:p>
        </w:tc>
      </w:tr>
      <w:tr>
        <w:trPr>
          <w:cantSplit/>
        </w:trPr>
        <w:tc>
          <w:tcPr>
            <w:tcW w:type="dxa" w:w="2304"/>
          </w:tcPr>
          <w:p>
            <w:r/>
            <w:r>
              <w:rPr>
                <w:rFonts w:ascii="Cambria" w:hAnsi="Cambria"/>
                <w:b w:val="0"/>
                <w:color w:val="1F1F1F"/>
                <w:sz w:val="20"/>
              </w:rPr>
              <w:t>mar-24</w:t>
            </w:r>
          </w:p>
        </w:tc>
        <w:tc>
          <w:tcPr>
            <w:tcW w:type="dxa" w:w="2304"/>
          </w:tcPr>
          <w:p>
            <w:pPr>
              <w:jc w:val="right"/>
            </w:pPr>
            <w:r/>
            <w:r>
              <w:rPr>
                <w:rFonts w:ascii="Cambria" w:hAnsi="Cambria"/>
                <w:b w:val="0"/>
                <w:color w:val="1F1F1F"/>
                <w:sz w:val="20"/>
              </w:rPr>
              <w:t>90.6</w:t>
            </w:r>
          </w:p>
        </w:tc>
        <w:tc>
          <w:tcPr>
            <w:tcW w:type="dxa" w:w="2304"/>
          </w:tcPr>
          <w:p>
            <w:pPr>
              <w:jc w:val="right"/>
            </w:pPr>
            <w:r/>
            <w:r>
              <w:rPr>
                <w:rFonts w:ascii="Cambria" w:hAnsi="Cambria"/>
                <w:b w:val="0"/>
                <w:color w:val="1F1F1F"/>
                <w:sz w:val="20"/>
              </w:rPr>
              <w:t>101.8</w:t>
            </w:r>
          </w:p>
        </w:tc>
        <w:tc>
          <w:tcPr>
            <w:tcW w:type="dxa" w:w="2304"/>
          </w:tcPr>
          <w:p>
            <w:pPr>
              <w:jc w:val="right"/>
            </w:pPr>
            <w:r/>
            <w:r>
              <w:rPr>
                <w:rFonts w:ascii="Cambria" w:hAnsi="Cambria"/>
                <w:b w:val="0"/>
                <w:color w:val="1F1F1F"/>
                <w:sz w:val="20"/>
              </w:rPr>
              <w:t>103.9</w:t>
            </w:r>
          </w:p>
        </w:tc>
      </w:tr>
      <w:tr>
        <w:trPr>
          <w:cantSplit/>
        </w:trPr>
        <w:tc>
          <w:tcPr>
            <w:tcW w:type="dxa" w:w="2304"/>
          </w:tcPr>
          <w:p>
            <w:r/>
            <w:r>
              <w:rPr>
                <w:rFonts w:ascii="Cambria" w:hAnsi="Cambria"/>
                <w:b w:val="0"/>
                <w:color w:val="1F1F1F"/>
                <w:sz w:val="20"/>
              </w:rPr>
              <w:t>abr-24</w:t>
            </w:r>
          </w:p>
        </w:tc>
        <w:tc>
          <w:tcPr>
            <w:tcW w:type="dxa" w:w="2304"/>
          </w:tcPr>
          <w:p>
            <w:pPr>
              <w:jc w:val="right"/>
            </w:pPr>
            <w:r/>
            <w:r>
              <w:rPr>
                <w:rFonts w:ascii="Cambria" w:hAnsi="Cambria"/>
                <w:b w:val="0"/>
                <w:color w:val="1F1F1F"/>
                <w:sz w:val="20"/>
              </w:rPr>
              <w:t>97.9</w:t>
            </w:r>
          </w:p>
        </w:tc>
        <w:tc>
          <w:tcPr>
            <w:tcW w:type="dxa" w:w="2304"/>
          </w:tcPr>
          <w:p>
            <w:pPr>
              <w:jc w:val="right"/>
            </w:pPr>
            <w:r/>
            <w:r>
              <w:rPr>
                <w:rFonts w:ascii="Cambria" w:hAnsi="Cambria"/>
                <w:b w:val="0"/>
                <w:color w:val="1F1F1F"/>
                <w:sz w:val="20"/>
              </w:rPr>
              <w:t>104.2</w:t>
            </w:r>
          </w:p>
        </w:tc>
        <w:tc>
          <w:tcPr>
            <w:tcW w:type="dxa" w:w="2304"/>
          </w:tcPr>
          <w:p>
            <w:pPr>
              <w:jc w:val="right"/>
            </w:pPr>
            <w:r/>
            <w:r>
              <w:rPr>
                <w:rFonts w:ascii="Cambria" w:hAnsi="Cambria"/>
                <w:b w:val="0"/>
                <w:color w:val="1F1F1F"/>
                <w:sz w:val="20"/>
              </w:rPr>
              <w:t>107.0</w:t>
            </w:r>
          </w:p>
        </w:tc>
      </w:tr>
      <w:tr>
        <w:trPr>
          <w:cantSplit/>
        </w:trPr>
        <w:tc>
          <w:tcPr>
            <w:tcW w:type="dxa" w:w="2304"/>
          </w:tcPr>
          <w:p>
            <w:r/>
            <w:r>
              <w:rPr>
                <w:rFonts w:ascii="Cambria" w:hAnsi="Cambria"/>
                <w:b w:val="0"/>
                <w:color w:val="1F1F1F"/>
                <w:sz w:val="20"/>
              </w:rPr>
              <w:t>may-24</w:t>
            </w:r>
          </w:p>
        </w:tc>
        <w:tc>
          <w:tcPr>
            <w:tcW w:type="dxa" w:w="2304"/>
          </w:tcPr>
          <w:p>
            <w:pPr>
              <w:jc w:val="right"/>
            </w:pPr>
            <w:r/>
            <w:r>
              <w:rPr>
                <w:rFonts w:ascii="Cambria" w:hAnsi="Cambria"/>
                <w:b w:val="0"/>
                <w:color w:val="1F1F1F"/>
                <w:sz w:val="20"/>
              </w:rPr>
              <w:t>119.1</w:t>
            </w:r>
          </w:p>
        </w:tc>
        <w:tc>
          <w:tcPr>
            <w:tcW w:type="dxa" w:w="2304"/>
          </w:tcPr>
          <w:p>
            <w:pPr>
              <w:jc w:val="right"/>
            </w:pPr>
            <w:r/>
            <w:r>
              <w:rPr>
                <w:rFonts w:ascii="Cambria" w:hAnsi="Cambria"/>
                <w:b w:val="0"/>
                <w:color w:val="1F1F1F"/>
                <w:sz w:val="20"/>
              </w:rPr>
              <w:t>104.9</w:t>
            </w:r>
          </w:p>
        </w:tc>
        <w:tc>
          <w:tcPr>
            <w:tcW w:type="dxa" w:w="2304"/>
          </w:tcPr>
          <w:p>
            <w:pPr>
              <w:jc w:val="right"/>
            </w:pPr>
            <w:r/>
            <w:r>
              <w:rPr>
                <w:rFonts w:ascii="Cambria" w:hAnsi="Cambria"/>
                <w:b w:val="0"/>
                <w:color w:val="1F1F1F"/>
                <w:sz w:val="20"/>
              </w:rPr>
              <w:t>108.3</w:t>
            </w:r>
          </w:p>
        </w:tc>
      </w:tr>
      <w:tr>
        <w:trPr>
          <w:cantSplit/>
        </w:trPr>
        <w:tc>
          <w:tcPr>
            <w:tcW w:type="dxa" w:w="2304"/>
          </w:tcPr>
          <w:p>
            <w:r/>
            <w:r>
              <w:rPr>
                <w:rFonts w:ascii="Cambria" w:hAnsi="Cambria"/>
                <w:b w:val="0"/>
                <w:color w:val="1F1F1F"/>
                <w:sz w:val="20"/>
              </w:rPr>
              <w:t>jun-24</w:t>
            </w:r>
          </w:p>
        </w:tc>
        <w:tc>
          <w:tcPr>
            <w:tcW w:type="dxa" w:w="2304"/>
          </w:tcPr>
          <w:p>
            <w:pPr>
              <w:jc w:val="right"/>
            </w:pPr>
            <w:r/>
            <w:r>
              <w:rPr>
                <w:rFonts w:ascii="Cambria" w:hAnsi="Cambria"/>
                <w:b w:val="0"/>
                <w:color w:val="1F1F1F"/>
                <w:sz w:val="20"/>
              </w:rPr>
              <w:t>111.8</w:t>
            </w:r>
          </w:p>
        </w:tc>
        <w:tc>
          <w:tcPr>
            <w:tcW w:type="dxa" w:w="2304"/>
          </w:tcPr>
          <w:p>
            <w:pPr>
              <w:jc w:val="right"/>
            </w:pPr>
            <w:r/>
            <w:r>
              <w:rPr>
                <w:rFonts w:ascii="Cambria" w:hAnsi="Cambria"/>
                <w:b w:val="0"/>
                <w:color w:val="1F1F1F"/>
                <w:sz w:val="20"/>
              </w:rPr>
              <w:t>101.1</w:t>
            </w:r>
          </w:p>
        </w:tc>
        <w:tc>
          <w:tcPr>
            <w:tcW w:type="dxa" w:w="2304"/>
          </w:tcPr>
          <w:p>
            <w:pPr>
              <w:jc w:val="right"/>
            </w:pPr>
            <w:r/>
            <w:r>
              <w:rPr>
                <w:rFonts w:ascii="Cambria" w:hAnsi="Cambria"/>
                <w:b w:val="0"/>
                <w:color w:val="1F1F1F"/>
                <w:sz w:val="20"/>
              </w:rPr>
              <w:t>104.5</w:t>
            </w:r>
          </w:p>
        </w:tc>
      </w:tr>
      <w:tr>
        <w:trPr>
          <w:cantSplit/>
        </w:trPr>
        <w:tc>
          <w:tcPr>
            <w:tcW w:type="dxa" w:w="2304"/>
          </w:tcPr>
          <w:p>
            <w:r/>
            <w:r>
              <w:rPr>
                <w:rFonts w:ascii="Cambria" w:hAnsi="Cambria"/>
                <w:b w:val="0"/>
                <w:color w:val="1F1F1F"/>
                <w:sz w:val="20"/>
              </w:rPr>
              <w:t>jul-24</w:t>
            </w:r>
          </w:p>
        </w:tc>
        <w:tc>
          <w:tcPr>
            <w:tcW w:type="dxa" w:w="2304"/>
          </w:tcPr>
          <w:p>
            <w:pPr>
              <w:jc w:val="right"/>
            </w:pPr>
            <w:r/>
            <w:r>
              <w:rPr>
                <w:rFonts w:ascii="Cambria" w:hAnsi="Cambria"/>
                <w:b w:val="0"/>
                <w:color w:val="1F1F1F"/>
                <w:sz w:val="20"/>
              </w:rPr>
              <w:t>119.6</w:t>
            </w:r>
          </w:p>
        </w:tc>
        <w:tc>
          <w:tcPr>
            <w:tcW w:type="dxa" w:w="2304"/>
          </w:tcPr>
          <w:p>
            <w:pPr>
              <w:jc w:val="right"/>
            </w:pPr>
            <w:r/>
            <w:r>
              <w:rPr>
                <w:rFonts w:ascii="Cambria" w:hAnsi="Cambria"/>
                <w:b w:val="0"/>
                <w:color w:val="1F1F1F"/>
                <w:sz w:val="20"/>
              </w:rPr>
              <w:t>104.0</w:t>
            </w:r>
          </w:p>
        </w:tc>
        <w:tc>
          <w:tcPr>
            <w:tcW w:type="dxa" w:w="2304"/>
          </w:tcPr>
          <w:p>
            <w:pPr>
              <w:jc w:val="right"/>
            </w:pPr>
            <w:r/>
            <w:r>
              <w:rPr>
                <w:rFonts w:ascii="Cambria" w:hAnsi="Cambria"/>
                <w:b w:val="0"/>
                <w:color w:val="1F1F1F"/>
                <w:sz w:val="20"/>
              </w:rPr>
              <w:t>107.7</w:t>
            </w:r>
          </w:p>
        </w:tc>
      </w:tr>
      <w:tr>
        <w:trPr>
          <w:cantSplit/>
        </w:trPr>
        <w:tc>
          <w:tcPr>
            <w:tcW w:type="dxa" w:w="2304"/>
          </w:tcPr>
          <w:p>
            <w:r/>
            <w:r>
              <w:rPr>
                <w:rFonts w:ascii="Cambria" w:hAnsi="Cambria"/>
                <w:b w:val="0"/>
                <w:color w:val="1F1F1F"/>
                <w:sz w:val="20"/>
              </w:rPr>
              <w:t>ago-24</w:t>
            </w:r>
          </w:p>
        </w:tc>
        <w:tc>
          <w:tcPr>
            <w:tcW w:type="dxa" w:w="2304"/>
          </w:tcPr>
          <w:p>
            <w:pPr>
              <w:jc w:val="right"/>
            </w:pPr>
            <w:r/>
            <w:r>
              <w:rPr>
                <w:rFonts w:ascii="Cambria" w:hAnsi="Cambria"/>
                <w:b w:val="0"/>
                <w:color w:val="1F1F1F"/>
                <w:sz w:val="20"/>
              </w:rPr>
              <w:t>87.5</w:t>
            </w:r>
          </w:p>
        </w:tc>
        <w:tc>
          <w:tcPr>
            <w:tcW w:type="dxa" w:w="2304"/>
          </w:tcPr>
          <w:p>
            <w:pPr>
              <w:jc w:val="right"/>
            </w:pPr>
            <w:r/>
            <w:r>
              <w:rPr>
                <w:rFonts w:ascii="Cambria" w:hAnsi="Cambria"/>
                <w:b w:val="0"/>
                <w:color w:val="1F1F1F"/>
                <w:sz w:val="20"/>
              </w:rPr>
              <w:t>104.8</w:t>
            </w:r>
          </w:p>
        </w:tc>
        <w:tc>
          <w:tcPr>
            <w:tcW w:type="dxa" w:w="2304"/>
          </w:tcPr>
          <w:p>
            <w:pPr>
              <w:jc w:val="right"/>
            </w:pPr>
            <w:r/>
            <w:r>
              <w:rPr>
                <w:rFonts w:ascii="Cambria" w:hAnsi="Cambria"/>
                <w:b w:val="0"/>
                <w:color w:val="1F1F1F"/>
                <w:sz w:val="20"/>
              </w:rPr>
              <w:t>107.0</w:t>
            </w:r>
          </w:p>
        </w:tc>
      </w:tr>
      <w:tr>
        <w:trPr>
          <w:cantSplit/>
        </w:trPr>
        <w:tc>
          <w:tcPr>
            <w:tcW w:type="dxa" w:w="2304"/>
          </w:tcPr>
          <w:p>
            <w:r/>
            <w:r>
              <w:rPr>
                <w:rFonts w:ascii="Cambria" w:hAnsi="Cambria"/>
                <w:b w:val="0"/>
                <w:color w:val="1F1F1F"/>
                <w:sz w:val="20"/>
              </w:rPr>
              <w:t>sep-24</w:t>
            </w:r>
          </w:p>
        </w:tc>
        <w:tc>
          <w:tcPr>
            <w:tcW w:type="dxa" w:w="2304"/>
          </w:tcPr>
          <w:p>
            <w:pPr>
              <w:jc w:val="right"/>
            </w:pPr>
            <w:r/>
            <w:r>
              <w:rPr>
                <w:rFonts w:ascii="Cambria" w:hAnsi="Cambria"/>
                <w:b w:val="0"/>
                <w:color w:val="1F1F1F"/>
                <w:sz w:val="20"/>
              </w:rPr>
              <w:t>85.6</w:t>
            </w:r>
          </w:p>
        </w:tc>
        <w:tc>
          <w:tcPr>
            <w:tcW w:type="dxa" w:w="2304"/>
          </w:tcPr>
          <w:p>
            <w:pPr>
              <w:jc w:val="right"/>
            </w:pPr>
            <w:r/>
            <w:r>
              <w:rPr>
                <w:rFonts w:ascii="Cambria" w:hAnsi="Cambria"/>
                <w:b w:val="0"/>
                <w:color w:val="1F1F1F"/>
                <w:sz w:val="20"/>
              </w:rPr>
              <w:t>101.8</w:t>
            </w:r>
          </w:p>
        </w:tc>
        <w:tc>
          <w:tcPr>
            <w:tcW w:type="dxa" w:w="2304"/>
          </w:tcPr>
          <w:p>
            <w:pPr>
              <w:jc w:val="right"/>
            </w:pPr>
            <w:r/>
            <w:r>
              <w:rPr>
                <w:rFonts w:ascii="Cambria" w:hAnsi="Cambria"/>
                <w:b w:val="0"/>
                <w:color w:val="1F1F1F"/>
                <w:sz w:val="20"/>
              </w:rPr>
              <w:t>103.9</w:t>
            </w:r>
          </w:p>
        </w:tc>
      </w:tr>
      <w:tr>
        <w:trPr>
          <w:cantSplit/>
        </w:trPr>
        <w:tc>
          <w:tcPr>
            <w:tcW w:type="dxa" w:w="2304"/>
          </w:tcPr>
          <w:p>
            <w:r/>
            <w:r>
              <w:rPr>
                <w:rFonts w:ascii="Cambria" w:hAnsi="Cambria"/>
                <w:b w:val="0"/>
                <w:color w:val="1F1F1F"/>
                <w:sz w:val="20"/>
              </w:rPr>
              <w:t>oct-24</w:t>
            </w:r>
          </w:p>
        </w:tc>
        <w:tc>
          <w:tcPr>
            <w:tcW w:type="dxa" w:w="2304"/>
          </w:tcPr>
          <w:p>
            <w:pPr>
              <w:jc w:val="right"/>
            </w:pPr>
            <w:r/>
            <w:r>
              <w:rPr>
                <w:rFonts w:ascii="Cambria" w:hAnsi="Cambria"/>
                <w:b w:val="0"/>
                <w:color w:val="1F1F1F"/>
                <w:sz w:val="20"/>
              </w:rPr>
              <w:t>90.8</w:t>
            </w:r>
          </w:p>
        </w:tc>
        <w:tc>
          <w:tcPr>
            <w:tcW w:type="dxa" w:w="2304"/>
          </w:tcPr>
          <w:p>
            <w:pPr>
              <w:jc w:val="right"/>
            </w:pPr>
            <w:r/>
            <w:r>
              <w:rPr>
                <w:rFonts w:ascii="Cambria" w:hAnsi="Cambria"/>
                <w:b w:val="0"/>
                <w:color w:val="1F1F1F"/>
                <w:sz w:val="20"/>
              </w:rPr>
              <w:t>105.0</w:t>
            </w:r>
          </w:p>
        </w:tc>
        <w:tc>
          <w:tcPr>
            <w:tcW w:type="dxa" w:w="2304"/>
          </w:tcPr>
          <w:p>
            <w:pPr>
              <w:jc w:val="right"/>
            </w:pPr>
            <w:r/>
            <w:r>
              <w:rPr>
                <w:rFonts w:ascii="Cambria" w:hAnsi="Cambria"/>
                <w:b w:val="0"/>
                <w:color w:val="1F1F1F"/>
                <w:sz w:val="20"/>
              </w:rPr>
              <w:t>107.6</w:t>
            </w:r>
          </w:p>
        </w:tc>
      </w:tr>
      <w:tr>
        <w:trPr>
          <w:cantSplit/>
        </w:trPr>
        <w:tc>
          <w:tcPr>
            <w:tcW w:type="dxa" w:w="2304"/>
          </w:tcPr>
          <w:p>
            <w:r/>
            <w:r>
              <w:rPr>
                <w:rFonts w:ascii="Cambria" w:hAnsi="Cambria"/>
                <w:b w:val="0"/>
                <w:color w:val="1F1F1F"/>
                <w:sz w:val="20"/>
              </w:rPr>
              <w:t>nov-24</w:t>
            </w:r>
          </w:p>
        </w:tc>
        <w:tc>
          <w:tcPr>
            <w:tcW w:type="dxa" w:w="2304"/>
          </w:tcPr>
          <w:p>
            <w:pPr>
              <w:jc w:val="right"/>
            </w:pPr>
            <w:r/>
            <w:r>
              <w:rPr>
                <w:rFonts w:ascii="Cambria" w:hAnsi="Cambria"/>
                <w:b w:val="0"/>
                <w:color w:val="1F1F1F"/>
                <w:sz w:val="20"/>
              </w:rPr>
              <w:t>127.4</w:t>
            </w:r>
          </w:p>
        </w:tc>
        <w:tc>
          <w:tcPr>
            <w:tcW w:type="dxa" w:w="2304"/>
          </w:tcPr>
          <w:p>
            <w:pPr>
              <w:jc w:val="right"/>
            </w:pPr>
            <w:r/>
            <w:r>
              <w:rPr>
                <w:rFonts w:ascii="Cambria" w:hAnsi="Cambria"/>
                <w:b w:val="0"/>
                <w:color w:val="1F1F1F"/>
                <w:sz w:val="20"/>
              </w:rPr>
              <w:t>102.1</w:t>
            </w:r>
          </w:p>
        </w:tc>
        <w:tc>
          <w:tcPr>
            <w:tcW w:type="dxa" w:w="2304"/>
          </w:tcPr>
          <w:p>
            <w:pPr>
              <w:jc w:val="right"/>
            </w:pPr>
            <w:r/>
            <w:r>
              <w:rPr>
                <w:rFonts w:ascii="Cambria" w:hAnsi="Cambria"/>
                <w:b w:val="0"/>
                <w:color w:val="1F1F1F"/>
                <w:sz w:val="20"/>
              </w:rPr>
              <w:t>110.3</w:t>
            </w:r>
          </w:p>
        </w:tc>
      </w:tr>
      <w:tr>
        <w:trPr>
          <w:cantSplit/>
        </w:trPr>
        <w:tc>
          <w:tcPr>
            <w:tcW w:type="dxa" w:w="2304"/>
          </w:tcPr>
          <w:p>
            <w:r/>
            <w:r>
              <w:rPr>
                <w:rFonts w:ascii="Cambria" w:hAnsi="Cambria"/>
                <w:b w:val="0"/>
                <w:color w:val="1F1F1F"/>
                <w:sz w:val="20"/>
              </w:rPr>
              <w:t>dic-24</w:t>
            </w:r>
          </w:p>
        </w:tc>
        <w:tc>
          <w:tcPr>
            <w:tcW w:type="dxa" w:w="2304"/>
          </w:tcPr>
          <w:p>
            <w:pPr>
              <w:jc w:val="right"/>
            </w:pPr>
            <w:r/>
            <w:r>
              <w:rPr>
                <w:rFonts w:ascii="Cambria" w:hAnsi="Cambria"/>
                <w:b w:val="0"/>
                <w:color w:val="1F1F1F"/>
                <w:sz w:val="20"/>
              </w:rPr>
              <w:t>130.8</w:t>
            </w:r>
          </w:p>
        </w:tc>
        <w:tc>
          <w:tcPr>
            <w:tcW w:type="dxa" w:w="2304"/>
          </w:tcPr>
          <w:p>
            <w:pPr>
              <w:jc w:val="right"/>
            </w:pPr>
            <w:r/>
            <w:r>
              <w:rPr>
                <w:rFonts w:ascii="Cambria" w:hAnsi="Cambria"/>
                <w:b w:val="0"/>
                <w:color w:val="1F1F1F"/>
                <w:sz w:val="20"/>
              </w:rPr>
              <w:t>96.1</w:t>
            </w:r>
          </w:p>
        </w:tc>
        <w:tc>
          <w:tcPr>
            <w:tcW w:type="dxa" w:w="2304"/>
          </w:tcPr>
          <w:p>
            <w:pPr>
              <w:jc w:val="right"/>
            </w:pPr>
            <w:r/>
            <w:r>
              <w:rPr>
                <w:rFonts w:ascii="Cambria" w:hAnsi="Cambria"/>
                <w:b w:val="0"/>
                <w:color w:val="1F1F1F"/>
                <w:sz w:val="20"/>
              </w:rPr>
              <w:t>107.0</w:t>
            </w:r>
          </w:p>
        </w:tc>
      </w:tr>
      <w:tr>
        <w:trPr>
          <w:cantSplit/>
        </w:trPr>
        <w:tc>
          <w:tcPr>
            <w:tcW w:type="dxa" w:w="2304"/>
          </w:tcPr>
          <w:p>
            <w:r/>
            <w:r>
              <w:rPr>
                <w:rFonts w:ascii="Cambria" w:hAnsi="Cambria"/>
                <w:b w:val="0"/>
                <w:color w:val="1F1F1F"/>
                <w:sz w:val="20"/>
              </w:rPr>
              <w:t>ene-25</w:t>
            </w:r>
          </w:p>
        </w:tc>
        <w:tc>
          <w:tcPr>
            <w:tcW w:type="dxa" w:w="2304"/>
          </w:tcPr>
          <w:p>
            <w:pPr>
              <w:jc w:val="right"/>
            </w:pPr>
            <w:r/>
            <w:r>
              <w:rPr>
                <w:rFonts w:ascii="Cambria" w:hAnsi="Cambria"/>
                <w:b w:val="0"/>
                <w:color w:val="1F1F1F"/>
                <w:sz w:val="20"/>
              </w:rPr>
              <w:t>108.9</w:t>
            </w:r>
          </w:p>
        </w:tc>
        <w:tc>
          <w:tcPr>
            <w:tcW w:type="dxa" w:w="2304"/>
          </w:tcPr>
          <w:p>
            <w:pPr>
              <w:jc w:val="right"/>
            </w:pPr>
            <w:r/>
            <w:r>
              <w:rPr>
                <w:rFonts w:ascii="Cambria" w:hAnsi="Cambria"/>
                <w:b w:val="0"/>
                <w:color w:val="1F1F1F"/>
                <w:sz w:val="20"/>
              </w:rPr>
              <w:t>97.7</w:t>
            </w:r>
          </w:p>
        </w:tc>
        <w:tc>
          <w:tcPr>
            <w:tcW w:type="dxa" w:w="2304"/>
          </w:tcPr>
          <w:p>
            <w:pPr>
              <w:jc w:val="right"/>
            </w:pPr>
            <w:r/>
            <w:r>
              <w:rPr>
                <w:rFonts w:ascii="Cambria" w:hAnsi="Cambria"/>
                <w:b w:val="0"/>
                <w:color w:val="1F1F1F"/>
                <w:sz w:val="20"/>
              </w:rPr>
              <w:t>103.0</w:t>
            </w:r>
          </w:p>
        </w:tc>
      </w:tr>
    </w:tbl>
    <w:p/>
    <w:p>
      <w:r>
        <w:rPr>
          <w:rFonts w:ascii="Cambria" w:hAnsi="Cambria"/>
          <w:i/>
          <w:color w:val="6B6B6B"/>
          <w:sz w:val="18"/>
        </w:rPr>
        <w:t>Fuente: INEGI | Indicador Global de la Actividad Económica (IGAE) — Banco de Información Económica (BIE)</w:t>
      </w:r>
    </w:p>
    <w:p>
      <w:r>
        <w:rPr>
          <w:rFonts w:ascii="Cambria" w:hAnsi="Cambria"/>
          <w:i/>
          <w:color w:val="6B6B6B"/>
          <w:sz w:val="18"/>
        </w:rPr>
        <w:t>Cifras correspondientes a enero de 2025, según los datos de INEGI vigentes al generar el reporte (las cifras más recientes son preliminares y están sujetas a revisión).</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