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Diciembre 2025</w:t>
      </w:r>
    </w:p>
    <w:p>
      <w:pPr>
        <w:pStyle w:val="Heading1"/>
      </w:pPr>
      <w:r>
        <w:rPr>
          <w:rFonts w:ascii="Calibri Light" w:hAnsi="Calibri Light"/>
          <w:b/>
          <w:color w:val="4F81BD"/>
          <w:sz w:val="32"/>
        </w:rPr>
        <w:t>Evolución general del IGAE</w:t>
      </w:r>
    </w:p>
    <w:p>
      <w:r>
        <w:rPr>
          <w:rFonts w:ascii="Cambria" w:hAnsi="Cambria"/>
          <w:b w:val="0"/>
          <w:color w:val="1F1F1F"/>
          <w:sz w:val="22"/>
        </w:rPr>
        <w:t>Durante diciembre de 2025, el IGAE General se ubicó en 107.4 puntos (base 2018=100). Esto representa una variación mensual de -0.4% respecto al mes inmediato anterior. En comparación con diciembre de 2024 (cuando el índice se ubicó en 104.0 puntos), esto representa una variación anual de +3.3%.</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5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diciembre de 2024 vs. diciembre de 2025</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dic-24</w:t>
            </w:r>
          </w:p>
        </w:tc>
        <w:tc>
          <w:tcPr>
            <w:tcW w:type="dxa" w:w="1872"/>
            <w:shd w:val="clear" w:color="auto" w:fill="D9E2F3"/>
          </w:tcPr>
          <w:p>
            <w:pPr>
              <w:jc w:val="right"/>
            </w:pPr>
            <w:r/>
            <w:r>
              <w:rPr>
                <w:rFonts w:ascii="Cambria" w:hAnsi="Cambria"/>
                <w:b/>
                <w:color w:val="1F1F1F"/>
                <w:sz w:val="20"/>
              </w:rPr>
              <w:t>dic-25</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104.0</w:t>
            </w:r>
          </w:p>
        </w:tc>
        <w:tc>
          <w:tcPr>
            <w:tcW w:type="dxa" w:w="1872"/>
          </w:tcPr>
          <w:p>
            <w:pPr>
              <w:jc w:val="right"/>
            </w:pPr>
            <w:r/>
            <w:r>
              <w:rPr>
                <w:rFonts w:ascii="Cambria" w:hAnsi="Cambria"/>
                <w:b w:val="0"/>
                <w:color w:val="1F1F1F"/>
                <w:sz w:val="20"/>
              </w:rPr>
              <w:t>107.4</w:t>
            </w:r>
          </w:p>
        </w:tc>
        <w:tc>
          <w:tcPr>
            <w:tcW w:type="dxa" w:w="1872"/>
          </w:tcPr>
          <w:p>
            <w:pPr>
              <w:jc w:val="right"/>
            </w:pPr>
            <w:r/>
            <w:r>
              <w:rPr>
                <w:rFonts w:ascii="Cambria" w:hAnsi="Cambria"/>
                <w:b/>
                <w:color w:val="2E7D32"/>
                <w:sz w:val="20"/>
              </w:rPr>
              <w:t>+3.3%</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ene-25</w:t>
            </w:r>
          </w:p>
        </w:tc>
        <w:tc>
          <w:tcPr>
            <w:tcW w:type="dxa" w:w="3168"/>
          </w:tcPr>
          <w:p>
            <w:pPr>
              <w:jc w:val="right"/>
            </w:pPr>
            <w:r/>
            <w:r>
              <w:rPr>
                <w:rFonts w:ascii="Cambria" w:hAnsi="Cambria"/>
                <w:b w:val="0"/>
                <w:color w:val="1F1F1F"/>
                <w:sz w:val="20"/>
              </w:rPr>
              <w:t>101.3</w:t>
            </w:r>
          </w:p>
        </w:tc>
        <w:tc>
          <w:tcPr>
            <w:tcW w:type="dxa" w:w="3024"/>
          </w:tcPr>
          <w:p>
            <w:pPr>
              <w:jc w:val="right"/>
            </w:pPr>
            <w:r/>
            <w:r>
              <w:rPr>
                <w:rFonts w:ascii="Cambria" w:hAnsi="Cambria"/>
                <w:b w:val="0"/>
                <w:color w:val="C62828"/>
                <w:sz w:val="20"/>
              </w:rPr>
              <w:t>-0.4%</w:t>
            </w:r>
          </w:p>
        </w:tc>
      </w:tr>
      <w:tr>
        <w:trPr>
          <w:cantSplit/>
        </w:trPr>
        <w:tc>
          <w:tcPr>
            <w:tcW w:type="dxa" w:w="3168"/>
          </w:tcPr>
          <w:p>
            <w:r/>
            <w:r>
              <w:rPr>
                <w:rFonts w:ascii="Cambria" w:hAnsi="Cambria"/>
                <w:b w:val="0"/>
                <w:color w:val="1F1F1F"/>
                <w:sz w:val="20"/>
              </w:rPr>
              <w:t>feb-25</w:t>
            </w:r>
          </w:p>
        </w:tc>
        <w:tc>
          <w:tcPr>
            <w:tcW w:type="dxa" w:w="3168"/>
          </w:tcPr>
          <w:p>
            <w:pPr>
              <w:jc w:val="right"/>
            </w:pPr>
            <w:r/>
            <w:r>
              <w:rPr>
                <w:rFonts w:ascii="Cambria" w:hAnsi="Cambria"/>
                <w:b w:val="0"/>
                <w:color w:val="1F1F1F"/>
                <w:sz w:val="20"/>
              </w:rPr>
              <w:t>100.5</w:t>
            </w:r>
          </w:p>
        </w:tc>
        <w:tc>
          <w:tcPr>
            <w:tcW w:type="dxa" w:w="3024"/>
          </w:tcPr>
          <w:p>
            <w:pPr>
              <w:jc w:val="right"/>
            </w:pPr>
            <w:r/>
            <w:r>
              <w:rPr>
                <w:rFonts w:ascii="Cambria" w:hAnsi="Cambria"/>
                <w:b w:val="0"/>
                <w:color w:val="C62828"/>
                <w:sz w:val="20"/>
              </w:rPr>
              <w:t>-0.9%</w:t>
            </w:r>
          </w:p>
        </w:tc>
      </w:tr>
      <w:tr>
        <w:trPr>
          <w:cantSplit/>
        </w:trPr>
        <w:tc>
          <w:tcPr>
            <w:tcW w:type="dxa" w:w="3168"/>
          </w:tcPr>
          <w:p>
            <w:r/>
            <w:r>
              <w:rPr>
                <w:rFonts w:ascii="Cambria" w:hAnsi="Cambria"/>
                <w:b w:val="0"/>
                <w:color w:val="1F1F1F"/>
                <w:sz w:val="20"/>
              </w:rPr>
              <w:t>mar-25</w:t>
            </w:r>
          </w:p>
        </w:tc>
        <w:tc>
          <w:tcPr>
            <w:tcW w:type="dxa" w:w="3168"/>
          </w:tcPr>
          <w:p>
            <w:pPr>
              <w:jc w:val="right"/>
            </w:pPr>
            <w:r/>
            <w:r>
              <w:rPr>
                <w:rFonts w:ascii="Cambria" w:hAnsi="Cambria"/>
                <w:b w:val="0"/>
                <w:color w:val="1F1F1F"/>
                <w:sz w:val="20"/>
              </w:rPr>
              <w:t>105.5</w:t>
            </w:r>
          </w:p>
        </w:tc>
        <w:tc>
          <w:tcPr>
            <w:tcW w:type="dxa" w:w="3024"/>
          </w:tcPr>
          <w:p>
            <w:pPr>
              <w:jc w:val="right"/>
            </w:pPr>
            <w:r/>
            <w:r>
              <w:rPr>
                <w:rFonts w:ascii="Cambria" w:hAnsi="Cambria"/>
                <w:b w:val="0"/>
                <w:color w:val="2E7D32"/>
                <w:sz w:val="20"/>
              </w:rPr>
              <w:t>+2.7%</w:t>
            </w:r>
          </w:p>
        </w:tc>
      </w:tr>
      <w:tr>
        <w:trPr>
          <w:cantSplit/>
        </w:trPr>
        <w:tc>
          <w:tcPr>
            <w:tcW w:type="dxa" w:w="3168"/>
          </w:tcPr>
          <w:p>
            <w:r/>
            <w:r>
              <w:rPr>
                <w:rFonts w:ascii="Cambria" w:hAnsi="Cambria"/>
                <w:b w:val="0"/>
                <w:color w:val="1F1F1F"/>
                <w:sz w:val="20"/>
              </w:rPr>
              <w:t>abr-25</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-1.6%</w:t>
            </w:r>
          </w:p>
        </w:tc>
      </w:tr>
      <w:tr>
        <w:trPr>
          <w:cantSplit/>
        </w:trPr>
        <w:tc>
          <w:tcPr>
            <w:tcW w:type="dxa" w:w="3168"/>
          </w:tcPr>
          <w:p>
            <w:r/>
            <w:r>
              <w:rPr>
                <w:rFonts w:ascii="Cambria" w:hAnsi="Cambria"/>
                <w:b w:val="0"/>
                <w:color w:val="1F1F1F"/>
                <w:sz w:val="20"/>
              </w:rPr>
              <w:t>may-25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jun-25</w:t>
            </w:r>
          </w:p>
        </w:tc>
        <w:tc>
          <w:tcPr>
            <w:tcW w:type="dxa" w:w="3168"/>
          </w:tcPr>
          <w:p>
            <w:pPr>
              <w:jc w:val="right"/>
            </w:pPr>
            <w:r/>
            <w:r>
              <w:rPr>
                <w:rFonts w:ascii="Cambria" w:hAnsi="Cambria"/>
                <w:b w:val="0"/>
                <w:color w:val="1F1F1F"/>
                <w:sz w:val="20"/>
              </w:rPr>
              <w:t>104.5</w:t>
            </w:r>
          </w:p>
        </w:tc>
        <w:tc>
          <w:tcPr>
            <w:tcW w:type="dxa" w:w="3024"/>
          </w:tcPr>
          <w:p>
            <w:pPr>
              <w:jc w:val="right"/>
            </w:pPr>
            <w:r/>
            <w:r>
              <w:rPr>
                <w:rFonts w:ascii="Cambria" w:hAnsi="Cambria"/>
                <w:b w:val="0"/>
                <w:color w:val="2E7D32"/>
                <w:sz w:val="20"/>
              </w:rPr>
              <w:t>+0.9%</w:t>
            </w:r>
          </w:p>
        </w:tc>
      </w:tr>
      <w:tr>
        <w:trPr>
          <w:cantSplit/>
        </w:trPr>
        <w:tc>
          <w:tcPr>
            <w:tcW w:type="dxa" w:w="3168"/>
          </w:tcPr>
          <w:p>
            <w:r/>
            <w:r>
              <w:rPr>
                <w:rFonts w:ascii="Cambria" w:hAnsi="Cambria"/>
                <w:b w:val="0"/>
                <w:color w:val="1F1F1F"/>
                <w:sz w:val="20"/>
              </w:rPr>
              <w:t>jul-25</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C62828"/>
                <w:sz w:val="20"/>
              </w:rPr>
              <w:t>-1.1%</w:t>
            </w:r>
          </w:p>
        </w:tc>
      </w:tr>
      <w:tr>
        <w:trPr>
          <w:cantSplit/>
        </w:trPr>
        <w:tc>
          <w:tcPr>
            <w:tcW w:type="dxa" w:w="3168"/>
          </w:tcPr>
          <w:p>
            <w:r/>
            <w:r>
              <w:rPr>
                <w:rFonts w:ascii="Cambria" w:hAnsi="Cambria"/>
                <w:b w:val="0"/>
                <w:color w:val="1F1F1F"/>
                <w:sz w:val="20"/>
              </w:rPr>
              <w:t>ago-25</w:t>
            </w:r>
          </w:p>
        </w:tc>
        <w:tc>
          <w:tcPr>
            <w:tcW w:type="dxa" w:w="3168"/>
          </w:tcPr>
          <w:p>
            <w:pPr>
              <w:jc w:val="right"/>
            </w:pPr>
            <w:r/>
            <w:r>
              <w:rPr>
                <w:rFonts w:ascii="Cambria" w:hAnsi="Cambria"/>
                <w:b w:val="0"/>
                <w:color w:val="1F1F1F"/>
                <w:sz w:val="20"/>
              </w:rPr>
              <w:t>104.8</w:t>
            </w:r>
          </w:p>
        </w:tc>
        <w:tc>
          <w:tcPr>
            <w:tcW w:type="dxa" w:w="3024"/>
          </w:tcPr>
          <w:p>
            <w:pPr>
              <w:jc w:val="right"/>
            </w:pPr>
            <w:r/>
            <w:r>
              <w:rPr>
                <w:rFonts w:ascii="Cambria" w:hAnsi="Cambria"/>
                <w:b w:val="0"/>
                <w:color w:val="C62828"/>
                <w:sz w:val="20"/>
              </w:rPr>
              <w:t>-0.7%</w:t>
            </w:r>
          </w:p>
        </w:tc>
      </w:tr>
      <w:tr>
        <w:trPr>
          <w:cantSplit/>
        </w:trPr>
        <w:tc>
          <w:tcPr>
            <w:tcW w:type="dxa" w:w="3168"/>
          </w:tcPr>
          <w:p>
            <w:r/>
            <w:r>
              <w:rPr>
                <w:rFonts w:ascii="Cambria" w:hAnsi="Cambria"/>
                <w:b w:val="0"/>
                <w:color w:val="1F1F1F"/>
                <w:sz w:val="20"/>
              </w:rPr>
              <w:t>sep-25</w:t>
            </w:r>
          </w:p>
        </w:tc>
        <w:tc>
          <w:tcPr>
            <w:tcW w:type="dxa" w:w="3168"/>
          </w:tcPr>
          <w:p>
            <w:pPr>
              <w:jc w:val="right"/>
            </w:pPr>
            <w:r/>
            <w:r>
              <w:rPr>
                <w:rFonts w:ascii="Cambria" w:hAnsi="Cambria"/>
                <w:b w:val="0"/>
                <w:color w:val="1F1F1F"/>
                <w:sz w:val="20"/>
              </w:rPr>
              <w:t>103.2</w:t>
            </w:r>
          </w:p>
        </w:tc>
        <w:tc>
          <w:tcPr>
            <w:tcW w:type="dxa" w:w="3024"/>
          </w:tcPr>
          <w:p>
            <w:pPr>
              <w:jc w:val="right"/>
            </w:pPr>
            <w:r/>
            <w:r>
              <w:rPr>
                <w:rFonts w:ascii="Cambria" w:hAnsi="Cambria"/>
                <w:b w:val="0"/>
                <w:color w:val="2E7D32"/>
                <w:sz w:val="20"/>
              </w:rPr>
              <w:t>+0.7%</w:t>
            </w:r>
          </w:p>
        </w:tc>
      </w:tr>
      <w:tr>
        <w:trPr>
          <w:cantSplit/>
        </w:trPr>
        <w:tc>
          <w:tcPr>
            <w:tcW w:type="dxa" w:w="3168"/>
          </w:tcPr>
          <w:p>
            <w:r/>
            <w:r>
              <w:rPr>
                <w:rFonts w:ascii="Cambria" w:hAnsi="Cambria"/>
                <w:b w:val="0"/>
                <w:color w:val="1F1F1F"/>
                <w:sz w:val="20"/>
              </w:rPr>
              <w:t>oct-25</w:t>
            </w:r>
          </w:p>
        </w:tc>
        <w:tc>
          <w:tcPr>
            <w:tcW w:type="dxa" w:w="3168"/>
          </w:tcPr>
          <w:p>
            <w:pPr>
              <w:jc w:val="right"/>
            </w:pPr>
            <w:r/>
            <w:r>
              <w:rPr>
                <w:rFonts w:ascii="Cambria" w:hAnsi="Cambria"/>
                <w:b w:val="0"/>
                <w:color w:val="1F1F1F"/>
                <w:sz w:val="20"/>
              </w:rPr>
              <w:t>107.9</w:t>
            </w:r>
          </w:p>
        </w:tc>
        <w:tc>
          <w:tcPr>
            <w:tcW w:type="dxa" w:w="3024"/>
          </w:tcPr>
          <w:p>
            <w:pPr>
              <w:jc w:val="right"/>
            </w:pPr>
            <w:r/>
            <w:r>
              <w:rPr>
                <w:rFonts w:ascii="Cambria" w:hAnsi="Cambria"/>
                <w:b w:val="0"/>
                <w:color w:val="2E7D32"/>
                <w:sz w:val="20"/>
              </w:rPr>
              <w:t>+1.7%</w:t>
            </w:r>
          </w:p>
        </w:tc>
      </w:tr>
      <w:tr>
        <w:trPr>
          <w:cantSplit/>
        </w:trPr>
        <w:tc>
          <w:tcPr>
            <w:tcW w:type="dxa" w:w="3168"/>
          </w:tcPr>
          <w:p>
            <w:r/>
            <w:r>
              <w:rPr>
                <w:rFonts w:ascii="Cambria" w:hAnsi="Cambria"/>
                <w:b w:val="0"/>
                <w:color w:val="1F1F1F"/>
                <w:sz w:val="20"/>
              </w:rPr>
              <w:t>nov-25</w:t>
            </w:r>
          </w:p>
        </w:tc>
        <w:tc>
          <w:tcPr>
            <w:tcW w:type="dxa" w:w="3168"/>
          </w:tcPr>
          <w:p>
            <w:pPr>
              <w:jc w:val="right"/>
            </w:pPr>
            <w:r/>
            <w:r>
              <w:rPr>
                <w:rFonts w:ascii="Cambria" w:hAnsi="Cambria"/>
                <w:b w:val="0"/>
                <w:color w:val="1F1F1F"/>
                <w:sz w:val="20"/>
              </w:rPr>
              <w:t>107.8</w:t>
            </w:r>
          </w:p>
        </w:tc>
        <w:tc>
          <w:tcPr>
            <w:tcW w:type="dxa" w:w="3024"/>
          </w:tcPr>
          <w:p>
            <w:pPr>
              <w:jc w:val="right"/>
            </w:pPr>
            <w:r/>
            <w:r>
              <w:rPr>
                <w:rFonts w:ascii="Cambria" w:hAnsi="Cambria"/>
                <w:b w:val="0"/>
                <w:color w:val="C62828"/>
                <w:sz w:val="20"/>
              </w:rPr>
              <w:t>-0.2%</w:t>
            </w:r>
          </w:p>
        </w:tc>
      </w:tr>
      <w:tr>
        <w:trPr>
          <w:cantSplit/>
        </w:trPr>
        <w:tc>
          <w:tcPr>
            <w:tcW w:type="dxa" w:w="3168"/>
          </w:tcPr>
          <w:p>
            <w:r/>
            <w:r>
              <w:rPr>
                <w:rFonts w:ascii="Cambria" w:hAnsi="Cambria"/>
                <w:b w:val="0"/>
                <w:color w:val="1F1F1F"/>
                <w:sz w:val="20"/>
              </w:rPr>
              <w:t>dic-25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2E7D32"/>
                <w:sz w:val="20"/>
              </w:rPr>
              <w:t>+3.3%</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diciembre de 2025, la actividad económica con mayor nivel de índice fue Actividades primarias con un valor de 148.3, seguida de Actividades terciarias con 110.3 y Actividades secundarias con 98.4. En términos de crecimiento anual, Actividades primarias registró la mayor variación (+13.4%), seguida de Actividades terciarias (+3.1%) y Actividades secundarias (+2.3%). La siguiente tabla muestra el nivel del IGAE por actividad económica y su comparación contra diciembre de 2024.</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dic-24</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130.8</w:t>
            </w:r>
          </w:p>
        </w:tc>
        <w:tc>
          <w:tcPr>
            <w:tcW w:type="dxa" w:w="1296"/>
          </w:tcPr>
          <w:p>
            <w:pPr>
              <w:jc w:val="right"/>
            </w:pPr>
            <w:r/>
            <w:r>
              <w:rPr>
                <w:rFonts w:ascii="Cambria" w:hAnsi="Cambria"/>
                <w:b w:val="0"/>
                <w:color w:val="1F1F1F"/>
                <w:sz w:val="20"/>
              </w:rPr>
              <w:t>148.3</w:t>
            </w:r>
          </w:p>
        </w:tc>
        <w:tc>
          <w:tcPr>
            <w:tcW w:type="dxa" w:w="1296"/>
          </w:tcPr>
          <w:p>
            <w:pPr>
              <w:jc w:val="right"/>
            </w:pPr>
            <w:r/>
            <w:r>
              <w:rPr>
                <w:rFonts w:ascii="Cambria" w:hAnsi="Cambria"/>
                <w:b w:val="0"/>
                <w:color w:val="2E7D32"/>
                <w:sz w:val="20"/>
              </w:rPr>
              <w:t>+13.4%</w:t>
            </w:r>
          </w:p>
        </w:tc>
        <w:tc>
          <w:tcPr>
            <w:tcW w:type="dxa" w:w="1584"/>
          </w:tcPr>
          <w:p>
            <w:pPr>
              <w:jc w:val="right"/>
            </w:pPr>
            <w:r/>
            <w:r>
              <w:rPr>
                <w:rFonts w:ascii="Cambria" w:hAnsi="Cambria"/>
                <w:b w:val="0"/>
                <w:color w:val="2E7D32"/>
                <w:sz w:val="20"/>
              </w:rPr>
              <w:t>+2.6%</w:t>
            </w:r>
          </w:p>
        </w:tc>
        <w:tc>
          <w:tcPr>
            <w:tcW w:type="dxa" w:w="1440"/>
          </w:tcPr>
          <w:p>
            <w:pPr>
              <w:jc w:val="right"/>
            </w:pPr>
            <w:r/>
            <w:r>
              <w:rPr>
                <w:rFonts w:ascii="Cambria" w:hAnsi="Cambria"/>
                <w:b w:val="0"/>
                <w:color w:val="1F1F1F"/>
                <w:sz w:val="20"/>
              </w:rPr>
              <w:t>0.58</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107.0</w:t>
            </w:r>
          </w:p>
        </w:tc>
        <w:tc>
          <w:tcPr>
            <w:tcW w:type="dxa" w:w="1296"/>
          </w:tcPr>
          <w:p>
            <w:pPr>
              <w:jc w:val="right"/>
            </w:pPr>
            <w:r/>
            <w:r>
              <w:rPr>
                <w:rFonts w:ascii="Cambria" w:hAnsi="Cambria"/>
                <w:b w:val="0"/>
                <w:color w:val="1F1F1F"/>
                <w:sz w:val="20"/>
              </w:rPr>
              <w:t>110.3</w:t>
            </w:r>
          </w:p>
        </w:tc>
        <w:tc>
          <w:tcPr>
            <w:tcW w:type="dxa" w:w="1296"/>
          </w:tcPr>
          <w:p>
            <w:pPr>
              <w:jc w:val="right"/>
            </w:pPr>
            <w:r/>
            <w:r>
              <w:rPr>
                <w:rFonts w:ascii="Cambria" w:hAnsi="Cambria"/>
                <w:b w:val="0"/>
                <w:color w:val="2E7D32"/>
                <w:sz w:val="20"/>
              </w:rPr>
              <w:t>+3.1%</w:t>
            </w:r>
          </w:p>
        </w:tc>
        <w:tc>
          <w:tcPr>
            <w:tcW w:type="dxa" w:w="1584"/>
          </w:tcPr>
          <w:p>
            <w:pPr>
              <w:jc w:val="right"/>
            </w:pPr>
            <w:r/>
            <w:r>
              <w:rPr>
                <w:rFonts w:ascii="Cambria" w:hAnsi="Cambria"/>
                <w:b w:val="0"/>
                <w:color w:val="2E7D32"/>
                <w:sz w:val="20"/>
              </w:rPr>
              <w:t>+1.1%</w:t>
            </w:r>
          </w:p>
        </w:tc>
        <w:tc>
          <w:tcPr>
            <w:tcW w:type="dxa" w:w="1440"/>
          </w:tcPr>
          <w:p>
            <w:pPr>
              <w:jc w:val="right"/>
            </w:pPr>
            <w:r/>
            <w:r>
              <w:rPr>
                <w:rFonts w:ascii="Cambria" w:hAnsi="Cambria"/>
                <w:b w:val="0"/>
                <w:color w:val="1F1F1F"/>
                <w:sz w:val="20"/>
              </w:rPr>
              <w:t>1.97</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96.1</w:t>
            </w:r>
          </w:p>
        </w:tc>
        <w:tc>
          <w:tcPr>
            <w:tcW w:type="dxa" w:w="1296"/>
          </w:tcPr>
          <w:p>
            <w:pPr>
              <w:jc w:val="right"/>
            </w:pPr>
            <w:r/>
            <w:r>
              <w:rPr>
                <w:rFonts w:ascii="Cambria" w:hAnsi="Cambria"/>
                <w:b w:val="0"/>
                <w:color w:val="1F1F1F"/>
                <w:sz w:val="20"/>
              </w:rPr>
              <w:t>98.4</w:t>
            </w:r>
          </w:p>
        </w:tc>
        <w:tc>
          <w:tcPr>
            <w:tcW w:type="dxa" w:w="1296"/>
          </w:tcPr>
          <w:p>
            <w:pPr>
              <w:jc w:val="right"/>
            </w:pPr>
            <w:r/>
            <w:r>
              <w:rPr>
                <w:rFonts w:ascii="Cambria" w:hAnsi="Cambria"/>
                <w:b w:val="0"/>
                <w:color w:val="2E7D32"/>
                <w:sz w:val="20"/>
              </w:rPr>
              <w:t>+2.3%</w:t>
            </w:r>
          </w:p>
        </w:tc>
        <w:tc>
          <w:tcPr>
            <w:tcW w:type="dxa" w:w="1584"/>
          </w:tcPr>
          <w:p>
            <w:pPr>
              <w:jc w:val="right"/>
            </w:pPr>
            <w:r/>
            <w:r>
              <w:rPr>
                <w:rFonts w:ascii="Cambria" w:hAnsi="Cambria"/>
                <w:b w:val="0"/>
                <w:color w:val="C62828"/>
                <w:sz w:val="20"/>
              </w:rPr>
              <w:t>-1.2%</w:t>
            </w:r>
          </w:p>
        </w:tc>
        <w:tc>
          <w:tcPr>
            <w:tcW w:type="dxa" w:w="1440"/>
          </w:tcPr>
          <w:p>
            <w:pPr>
              <w:jc w:val="right"/>
            </w:pPr>
            <w:r/>
            <w:r>
              <w:rPr>
                <w:rFonts w:ascii="Cambria" w:hAnsi="Cambria"/>
                <w:b w:val="0"/>
                <w:color w:val="1F1F1F"/>
                <w:sz w:val="20"/>
              </w:rPr>
              <w:t>0.76</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diciembre de 2025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(+3.3%). Comercio al por menor fue el subsector que más aportó (0.68 pp), mientras que Servicios de alojamiento temporal y de preparación de alimentos y bebidas fue el que más restó (-0.09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2E7D32"/>
                <w:sz w:val="20"/>
              </w:rPr>
              <w:t>+13.4%</w:t>
            </w:r>
          </w:p>
        </w:tc>
        <w:tc>
          <w:tcPr>
            <w:tcW w:type="dxa" w:w="1728"/>
            <w:shd w:val="clear" w:color="auto" w:fill="EAF1FB"/>
          </w:tcPr>
          <w:p>
            <w:pPr>
              <w:jc w:val="right"/>
            </w:pPr>
            <w:r/>
            <w:r>
              <w:rPr>
                <w:rFonts w:ascii="Cambria" w:hAnsi="Cambria"/>
                <w:b/>
                <w:color w:val="2E7D32"/>
                <w:sz w:val="20"/>
              </w:rPr>
              <w:t>+2.6%</w:t>
            </w:r>
          </w:p>
        </w:tc>
        <w:tc>
          <w:tcPr>
            <w:tcW w:type="dxa" w:w="1512"/>
            <w:shd w:val="clear" w:color="auto" w:fill="EAF1FB"/>
          </w:tcPr>
          <w:p>
            <w:pPr>
              <w:jc w:val="right"/>
            </w:pPr>
            <w:r/>
            <w:r>
              <w:rPr>
                <w:rFonts w:ascii="Cambria" w:hAnsi="Cambria"/>
                <w:b/>
                <w:color w:val="2E7D32"/>
                <w:sz w:val="20"/>
              </w:rPr>
              <w:t>0.58</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2E7D32"/>
                <w:sz w:val="20"/>
              </w:rPr>
              <w:t>+17.7%</w:t>
            </w:r>
          </w:p>
        </w:tc>
        <w:tc>
          <w:tcPr>
            <w:tcW w:type="dxa" w:w="1728"/>
          </w:tcPr>
          <w:p>
            <w:pPr>
              <w:jc w:val="right"/>
            </w:pPr>
            <w:r/>
            <w:r>
              <w:rPr>
                <w:rFonts w:ascii="Cambria" w:hAnsi="Cambria"/>
                <w:b w:val="0"/>
                <w:color w:val="2E7D32"/>
                <w:sz w:val="20"/>
              </w:rPr>
              <w:t>+2.5%</w:t>
            </w:r>
          </w:p>
        </w:tc>
        <w:tc>
          <w:tcPr>
            <w:tcW w:type="dxa" w:w="1512"/>
          </w:tcPr>
          <w:p>
            <w:pPr>
              <w:jc w:val="right"/>
            </w:pPr>
            <w:r/>
            <w:r>
              <w:rPr>
                <w:rFonts w:ascii="Cambria" w:hAnsi="Cambria"/>
                <w:b w:val="0"/>
                <w:color w:val="2E7D32"/>
                <w:sz w:val="20"/>
              </w:rPr>
              <w:t>0.53</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+3.2%</w:t>
            </w:r>
          </w:p>
        </w:tc>
        <w:tc>
          <w:tcPr>
            <w:tcW w:type="dxa" w:w="1728"/>
          </w:tcPr>
          <w:p>
            <w:pPr>
              <w:jc w:val="right"/>
            </w:pPr>
            <w:r/>
            <w:r>
              <w:rPr>
                <w:rFonts w:ascii="Cambria" w:hAnsi="Cambria"/>
                <w:b w:val="0"/>
                <w:color w:val="2E7D32"/>
                <w:sz w:val="20"/>
              </w:rPr>
              <w:t>+2.7%</w:t>
            </w:r>
          </w:p>
        </w:tc>
        <w:tc>
          <w:tcPr>
            <w:tcW w:type="dxa" w:w="1512"/>
          </w:tcPr>
          <w:p>
            <w:pPr>
              <w:jc w:val="right"/>
            </w:pPr>
            <w:r/>
            <w:r>
              <w:rPr>
                <w:rFonts w:ascii="Cambria" w:hAnsi="Cambria"/>
                <w:b w:val="0"/>
                <w:color w:val="2E7D32"/>
                <w:sz w:val="20"/>
              </w:rPr>
              <w:t>0.04</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2E7D32"/>
                <w:sz w:val="20"/>
              </w:rPr>
              <w:t>+2.3%</w:t>
            </w:r>
          </w:p>
        </w:tc>
        <w:tc>
          <w:tcPr>
            <w:tcW w:type="dxa" w:w="1728"/>
            <w:shd w:val="clear" w:color="auto" w:fill="EAF1FB"/>
          </w:tcPr>
          <w:p>
            <w:pPr>
              <w:jc w:val="right"/>
            </w:pPr>
            <w:r/>
            <w:r>
              <w:rPr>
                <w:rFonts w:ascii="Cambria" w:hAnsi="Cambria"/>
                <w:b/>
                <w:color w:val="C62828"/>
                <w:sz w:val="20"/>
              </w:rPr>
              <w:t>-1.2%</w:t>
            </w:r>
          </w:p>
        </w:tc>
        <w:tc>
          <w:tcPr>
            <w:tcW w:type="dxa" w:w="1512"/>
            <w:shd w:val="clear" w:color="auto" w:fill="EAF1FB"/>
          </w:tcPr>
          <w:p>
            <w:pPr>
              <w:jc w:val="right"/>
            </w:pPr>
            <w:r/>
            <w:r>
              <w:rPr>
                <w:rFonts w:ascii="Cambria" w:hAnsi="Cambria"/>
                <w:b/>
                <w:color w:val="2E7D32"/>
                <w:sz w:val="20"/>
              </w:rPr>
              <w:t>0.76</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2E7D32"/>
                <w:sz w:val="20"/>
              </w:rPr>
              <w:t>+0.6%</w:t>
            </w:r>
          </w:p>
        </w:tc>
        <w:tc>
          <w:tcPr>
            <w:tcW w:type="dxa" w:w="1728"/>
          </w:tcPr>
          <w:p>
            <w:pPr>
              <w:jc w:val="right"/>
            </w:pPr>
            <w:r/>
            <w:r>
              <w:rPr>
                <w:rFonts w:ascii="Cambria" w:hAnsi="Cambria"/>
                <w:b w:val="0"/>
                <w:color w:val="C62828"/>
                <w:sz w:val="20"/>
              </w:rPr>
              <w:t>-6.5%</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2E7D32"/>
                <w:sz w:val="20"/>
              </w:rPr>
              <w:t>+3.9%</w:t>
            </w:r>
          </w:p>
        </w:tc>
        <w:tc>
          <w:tcPr>
            <w:tcW w:type="dxa" w:w="1728"/>
          </w:tcPr>
          <w:p>
            <w:pPr>
              <w:jc w:val="right"/>
            </w:pPr>
            <w:r/>
            <w:r>
              <w:rPr>
                <w:rFonts w:ascii="Cambria" w:hAnsi="Cambria"/>
                <w:b w:val="0"/>
                <w:color w:val="C62828"/>
                <w:sz w:val="20"/>
              </w:rPr>
              <w:t>-0.3%</w:t>
            </w:r>
          </w:p>
        </w:tc>
        <w:tc>
          <w:tcPr>
            <w:tcW w:type="dxa" w:w="1512"/>
          </w:tcPr>
          <w:p>
            <w:pPr>
              <w:jc w:val="right"/>
            </w:pPr>
            <w:r/>
            <w:r>
              <w:rPr>
                <w:rFonts w:ascii="Cambria" w:hAnsi="Cambria"/>
                <w:b w:val="0"/>
                <w:color w:val="2E7D32"/>
                <w:sz w:val="20"/>
              </w:rPr>
              <w:t>0.05</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2E7D32"/>
                <w:sz w:val="20"/>
              </w:rPr>
              <w:t>+6.4%</w:t>
            </w:r>
          </w:p>
        </w:tc>
        <w:tc>
          <w:tcPr>
            <w:tcW w:type="dxa" w:w="1728"/>
          </w:tcPr>
          <w:p>
            <w:pPr>
              <w:jc w:val="right"/>
            </w:pPr>
            <w:r/>
            <w:r>
              <w:rPr>
                <w:rFonts w:ascii="Cambria" w:hAnsi="Cambria"/>
                <w:b w:val="0"/>
                <w:color w:val="C62828"/>
                <w:sz w:val="20"/>
              </w:rPr>
              <w:t>-1.1%</w:t>
            </w:r>
          </w:p>
        </w:tc>
        <w:tc>
          <w:tcPr>
            <w:tcW w:type="dxa" w:w="1512"/>
          </w:tcPr>
          <w:p>
            <w:pPr>
              <w:jc w:val="right"/>
            </w:pPr>
            <w:r/>
            <w:r>
              <w:rPr>
                <w:rFonts w:ascii="Cambria" w:hAnsi="Cambria"/>
                <w:b w:val="0"/>
                <w:color w:val="2E7D32"/>
                <w:sz w:val="20"/>
              </w:rPr>
              <w:t>0.41</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2E7D32"/>
                <w:sz w:val="20"/>
              </w:rPr>
              <w:t>+1.3%</w:t>
            </w:r>
          </w:p>
        </w:tc>
        <w:tc>
          <w:tcPr>
            <w:tcW w:type="dxa" w:w="1728"/>
          </w:tcPr>
          <w:p>
            <w:pPr>
              <w:jc w:val="right"/>
            </w:pPr>
            <w:r/>
            <w:r>
              <w:rPr>
                <w:rFonts w:ascii="Cambria" w:hAnsi="Cambria"/>
                <w:b w:val="0"/>
                <w:color w:val="C62828"/>
                <w:sz w:val="20"/>
              </w:rPr>
              <w:t>-0.4%</w:t>
            </w:r>
          </w:p>
        </w:tc>
        <w:tc>
          <w:tcPr>
            <w:tcW w:type="dxa" w:w="1512"/>
          </w:tcPr>
          <w:p>
            <w:pPr>
              <w:jc w:val="right"/>
            </w:pPr>
            <w:r/>
            <w:r>
              <w:rPr>
                <w:rFonts w:ascii="Cambria" w:hAnsi="Cambria"/>
                <w:b w:val="0"/>
                <w:color w:val="2E7D32"/>
                <w:sz w:val="20"/>
              </w:rPr>
              <w:t>0.28</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+3.1%</w:t>
            </w:r>
          </w:p>
        </w:tc>
        <w:tc>
          <w:tcPr>
            <w:tcW w:type="dxa" w:w="1728"/>
            <w:shd w:val="clear" w:color="auto" w:fill="EAF1FB"/>
          </w:tcPr>
          <w:p>
            <w:pPr>
              <w:jc w:val="right"/>
            </w:pPr>
            <w:r/>
            <w:r>
              <w:rPr>
                <w:rFonts w:ascii="Cambria" w:hAnsi="Cambria"/>
                <w:b/>
                <w:color w:val="2E7D32"/>
                <w:sz w:val="20"/>
              </w:rPr>
              <w:t>+1.1%</w:t>
            </w:r>
          </w:p>
        </w:tc>
        <w:tc>
          <w:tcPr>
            <w:tcW w:type="dxa" w:w="1512"/>
            <w:shd w:val="clear" w:color="auto" w:fill="EAF1FB"/>
          </w:tcPr>
          <w:p>
            <w:pPr>
              <w:jc w:val="right"/>
            </w:pPr>
            <w:r/>
            <w:r>
              <w:rPr>
                <w:rFonts w:ascii="Cambria" w:hAnsi="Cambria"/>
                <w:b/>
                <w:color w:val="2E7D32"/>
                <w:sz w:val="20"/>
              </w:rPr>
              <w:t>1.97</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2E7D32"/>
                <w:sz w:val="20"/>
              </w:rPr>
              <w:t>+3.7%</w:t>
            </w:r>
          </w:p>
        </w:tc>
        <w:tc>
          <w:tcPr>
            <w:tcW w:type="dxa" w:w="1728"/>
          </w:tcPr>
          <w:p>
            <w:pPr>
              <w:jc w:val="right"/>
            </w:pPr>
            <w:r/>
            <w:r>
              <w:rPr>
                <w:rFonts w:ascii="Cambria" w:hAnsi="Cambria"/>
                <w:b w:val="0"/>
                <w:color w:val="C62828"/>
                <w:sz w:val="20"/>
              </w:rPr>
              <w:t>-4.7%</w:t>
            </w:r>
          </w:p>
        </w:tc>
        <w:tc>
          <w:tcPr>
            <w:tcW w:type="dxa" w:w="1512"/>
          </w:tcPr>
          <w:p>
            <w:pPr>
              <w:jc w:val="right"/>
            </w:pPr>
            <w:r/>
            <w:r>
              <w:rPr>
                <w:rFonts w:ascii="Cambria" w:hAnsi="Cambria"/>
                <w:b w:val="0"/>
                <w:color w:val="2E7D32"/>
                <w:sz w:val="20"/>
              </w:rPr>
              <w:t>0.36</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+5.9%</w:t>
            </w:r>
          </w:p>
        </w:tc>
        <w:tc>
          <w:tcPr>
            <w:tcW w:type="dxa" w:w="1728"/>
          </w:tcPr>
          <w:p>
            <w:pPr>
              <w:jc w:val="right"/>
            </w:pPr>
            <w:r/>
            <w:r>
              <w:rPr>
                <w:rFonts w:ascii="Cambria" w:hAnsi="Cambria"/>
                <w:b w:val="0"/>
                <w:color w:val="2E7D32"/>
                <w:sz w:val="20"/>
              </w:rPr>
              <w:t>+4.3%</w:t>
            </w:r>
          </w:p>
        </w:tc>
        <w:tc>
          <w:tcPr>
            <w:tcW w:type="dxa" w:w="1512"/>
          </w:tcPr>
          <w:p>
            <w:pPr>
              <w:jc w:val="right"/>
            </w:pPr>
            <w:r/>
            <w:r>
              <w:rPr>
                <w:rFonts w:ascii="Cambria" w:hAnsi="Cambria"/>
                <w:b w:val="0"/>
                <w:color w:val="2E7D32"/>
                <w:sz w:val="20"/>
              </w:rPr>
              <w:t>0.68</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2E7D32"/>
                <w:sz w:val="20"/>
              </w:rPr>
              <w:t>+3.6%</w:t>
            </w:r>
          </w:p>
        </w:tc>
        <w:tc>
          <w:tcPr>
            <w:tcW w:type="dxa" w:w="1728"/>
          </w:tcPr>
          <w:p>
            <w:pPr>
              <w:jc w:val="right"/>
            </w:pPr>
            <w:r/>
            <w:r>
              <w:rPr>
                <w:rFonts w:ascii="Cambria" w:hAnsi="Cambria"/>
                <w:b w:val="0"/>
                <w:color w:val="2E7D32"/>
                <w:sz w:val="20"/>
              </w:rPr>
              <w:t>+0.6%</w:t>
            </w:r>
          </w:p>
        </w:tc>
        <w:tc>
          <w:tcPr>
            <w:tcW w:type="dxa" w:w="1512"/>
          </w:tcPr>
          <w:p>
            <w:pPr>
              <w:jc w:val="right"/>
            </w:pPr>
            <w:r/>
            <w:r>
              <w:rPr>
                <w:rFonts w:ascii="Cambria" w:hAnsi="Cambria"/>
                <w:b w:val="0"/>
                <w:color w:val="2E7D32"/>
                <w:sz w:val="20"/>
              </w:rPr>
              <w:t>0.29</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C62828"/>
                <w:sz w:val="20"/>
              </w:rPr>
              <w:t>-3.6%</w:t>
            </w:r>
          </w:p>
        </w:tc>
        <w:tc>
          <w:tcPr>
            <w:tcW w:type="dxa" w:w="1728"/>
          </w:tcPr>
          <w:p>
            <w:pPr>
              <w:jc w:val="right"/>
            </w:pPr>
            <w:r/>
            <w:r>
              <w:rPr>
                <w:rFonts w:ascii="Cambria" w:hAnsi="Cambria"/>
                <w:b w:val="0"/>
                <w:color w:val="2E7D32"/>
                <w:sz w:val="20"/>
              </w:rPr>
              <w:t>+2.3%</w:t>
            </w:r>
          </w:p>
        </w:tc>
        <w:tc>
          <w:tcPr>
            <w:tcW w:type="dxa" w:w="1512"/>
          </w:tcPr>
          <w:p>
            <w:pPr>
              <w:jc w:val="right"/>
            </w:pPr>
            <w:r/>
            <w:r>
              <w:rPr>
                <w:rFonts w:ascii="Cambria" w:hAnsi="Cambria"/>
                <w:b w:val="0"/>
                <w:color w:val="C62828"/>
                <w:sz w:val="20"/>
              </w:rPr>
              <w:t>-0.07</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+2.3%</w:t>
            </w:r>
          </w:p>
        </w:tc>
        <w:tc>
          <w:tcPr>
            <w:tcW w:type="dxa" w:w="1728"/>
          </w:tcPr>
          <w:p>
            <w:pPr>
              <w:jc w:val="right"/>
            </w:pPr>
            <w:r/>
            <w:r>
              <w:rPr>
                <w:rFonts w:ascii="Cambria" w:hAnsi="Cambria"/>
                <w:b w:val="0"/>
                <w:color w:val="2E7D32"/>
                <w:sz w:val="20"/>
              </w:rPr>
              <w:t>+1.7%</w:t>
            </w:r>
          </w:p>
        </w:tc>
        <w:tc>
          <w:tcPr>
            <w:tcW w:type="dxa" w:w="1512"/>
          </w:tcPr>
          <w:p>
            <w:pPr>
              <w:jc w:val="right"/>
            </w:pPr>
            <w:r/>
            <w:r>
              <w:rPr>
                <w:rFonts w:ascii="Cambria" w:hAnsi="Cambria"/>
                <w:b w:val="0"/>
                <w:color w:val="2E7D32"/>
                <w:sz w:val="20"/>
              </w:rPr>
              <w:t>0.08</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+1.4%</w:t>
            </w:r>
          </w:p>
        </w:tc>
        <w:tc>
          <w:tcPr>
            <w:tcW w:type="dxa" w:w="1728"/>
          </w:tcPr>
          <w:p>
            <w:pPr>
              <w:jc w:val="right"/>
            </w:pPr>
            <w:r/>
            <w:r>
              <w:rPr>
                <w:rFonts w:ascii="Cambria" w:hAnsi="Cambria"/>
                <w:b w:val="0"/>
                <w:color w:val="2E7D32"/>
                <w:sz w:val="20"/>
              </w:rPr>
              <w:t>+1.5%</w:t>
            </w:r>
          </w:p>
        </w:tc>
        <w:tc>
          <w:tcPr>
            <w:tcW w:type="dxa" w:w="1512"/>
          </w:tcPr>
          <w:p>
            <w:pPr>
              <w:jc w:val="right"/>
            </w:pPr>
            <w:r/>
            <w:r>
              <w:rPr>
                <w:rFonts w:ascii="Cambria" w:hAnsi="Cambria"/>
                <w:b w:val="0"/>
                <w:color w:val="2E7D32"/>
                <w:sz w:val="20"/>
              </w:rPr>
              <w:t>0.14</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+5.3%</w:t>
            </w:r>
          </w:p>
        </w:tc>
        <w:tc>
          <w:tcPr>
            <w:tcW w:type="dxa" w:w="1728"/>
          </w:tcPr>
          <w:p>
            <w:pPr>
              <w:jc w:val="right"/>
            </w:pPr>
            <w:r/>
            <w:r>
              <w:rPr>
                <w:rFonts w:ascii="Cambria" w:hAnsi="Cambria"/>
                <w:b w:val="0"/>
                <w:color w:val="2E7D32"/>
                <w:sz w:val="20"/>
              </w:rPr>
              <w:t>+8.6%</w:t>
            </w:r>
          </w:p>
        </w:tc>
        <w:tc>
          <w:tcPr>
            <w:tcW w:type="dxa" w:w="1512"/>
          </w:tcPr>
          <w:p>
            <w:pPr>
              <w:jc w:val="right"/>
            </w:pPr>
            <w:r/>
            <w:r>
              <w:rPr>
                <w:rFonts w:ascii="Cambria" w:hAnsi="Cambria"/>
                <w:b w:val="0"/>
                <w:color w:val="2E7D32"/>
                <w:sz w:val="20"/>
              </w:rPr>
              <w:t>0.17</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2E7D32"/>
                <w:sz w:val="20"/>
              </w:rPr>
              <w:t>+9.3%</w:t>
            </w:r>
          </w:p>
        </w:tc>
        <w:tc>
          <w:tcPr>
            <w:tcW w:type="dxa" w:w="1728"/>
          </w:tcPr>
          <w:p>
            <w:pPr>
              <w:jc w:val="right"/>
            </w:pPr>
            <w:r/>
            <w:r>
              <w:rPr>
                <w:rFonts w:ascii="Cambria" w:hAnsi="Cambria"/>
                <w:b w:val="0"/>
                <w:color w:val="2E7D32"/>
                <w:sz w:val="20"/>
              </w:rPr>
              <w:t>+12.9%</w:t>
            </w:r>
          </w:p>
        </w:tc>
        <w:tc>
          <w:tcPr>
            <w:tcW w:type="dxa" w:w="1512"/>
          </w:tcPr>
          <w:p>
            <w:pPr>
              <w:jc w:val="right"/>
            </w:pPr>
            <w:r/>
            <w:r>
              <w:rPr>
                <w:rFonts w:ascii="Cambria" w:hAnsi="Cambria"/>
                <w:b w:val="0"/>
                <w:color w:val="2E7D32"/>
                <w:sz w:val="20"/>
              </w:rPr>
              <w:t>0.08</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+1.4%</w:t>
            </w:r>
          </w:p>
        </w:tc>
        <w:tc>
          <w:tcPr>
            <w:tcW w:type="dxa" w:w="1728"/>
          </w:tcPr>
          <w:p>
            <w:pPr>
              <w:jc w:val="right"/>
            </w:pPr>
            <w:r/>
            <w:r>
              <w:rPr>
                <w:rFonts w:ascii="Cambria" w:hAnsi="Cambria"/>
                <w:b w:val="0"/>
                <w:color w:val="2E7D32"/>
                <w:sz w:val="20"/>
              </w:rPr>
              <w:t>+1.1%</w:t>
            </w:r>
          </w:p>
        </w:tc>
        <w:tc>
          <w:tcPr>
            <w:tcW w:type="dxa" w:w="1512"/>
          </w:tcPr>
          <w:p>
            <w:pPr>
              <w:jc w:val="right"/>
            </w:pPr>
            <w:r/>
            <w:r>
              <w:rPr>
                <w:rFonts w:ascii="Cambria" w:hAnsi="Cambria"/>
                <w:b w:val="0"/>
                <w:color w:val="2E7D32"/>
                <w:sz w:val="20"/>
              </w:rPr>
              <w:t>0.05</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+5.5%</w:t>
            </w:r>
          </w:p>
        </w:tc>
        <w:tc>
          <w:tcPr>
            <w:tcW w:type="dxa" w:w="1728"/>
          </w:tcPr>
          <w:p>
            <w:pPr>
              <w:jc w:val="right"/>
            </w:pPr>
            <w:r/>
            <w:r>
              <w:rPr>
                <w:rFonts w:ascii="Cambria" w:hAnsi="Cambria"/>
                <w:b w:val="0"/>
                <w:color w:val="2E7D32"/>
                <w:sz w:val="20"/>
              </w:rPr>
              <w:t>+4.8%</w:t>
            </w:r>
          </w:p>
        </w:tc>
        <w:tc>
          <w:tcPr>
            <w:tcW w:type="dxa" w:w="1512"/>
          </w:tcPr>
          <w:p>
            <w:pPr>
              <w:jc w:val="right"/>
            </w:pPr>
            <w:r/>
            <w:r>
              <w:rPr>
                <w:rFonts w:ascii="Cambria" w:hAnsi="Cambria"/>
                <w:b w:val="0"/>
                <w:color w:val="2E7D32"/>
                <w:sz w:val="20"/>
              </w:rPr>
              <w:t>0.10</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2E7D32"/>
                <w:sz w:val="20"/>
              </w:rPr>
              <w:t>+17.1%</w:t>
            </w:r>
          </w:p>
        </w:tc>
        <w:tc>
          <w:tcPr>
            <w:tcW w:type="dxa" w:w="1728"/>
          </w:tcPr>
          <w:p>
            <w:pPr>
              <w:jc w:val="right"/>
            </w:pPr>
            <w:r/>
            <w:r>
              <w:rPr>
                <w:rFonts w:ascii="Cambria" w:hAnsi="Cambria"/>
                <w:b w:val="0"/>
                <w:color w:val="2E7D32"/>
                <w:sz w:val="20"/>
              </w:rPr>
              <w:t>+3.9%</w:t>
            </w:r>
          </w:p>
        </w:tc>
        <w:tc>
          <w:tcPr>
            <w:tcW w:type="dxa" w:w="1512"/>
          </w:tcPr>
          <w:p>
            <w:pPr>
              <w:jc w:val="right"/>
            </w:pPr>
            <w:r/>
            <w:r>
              <w:rPr>
                <w:rFonts w:ascii="Cambria" w:hAnsi="Cambria"/>
                <w:b w:val="0"/>
                <w:color w:val="2E7D32"/>
                <w:sz w:val="20"/>
              </w:rPr>
              <w:t>0.08</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-3.4%</w:t>
            </w:r>
          </w:p>
        </w:tc>
        <w:tc>
          <w:tcPr>
            <w:tcW w:type="dxa" w:w="1728"/>
          </w:tcPr>
          <w:p>
            <w:pPr>
              <w:jc w:val="right"/>
            </w:pPr>
            <w:r/>
            <w:r>
              <w:rPr>
                <w:rFonts w:ascii="Cambria" w:hAnsi="Cambria"/>
                <w:b w:val="0"/>
                <w:color w:val="C62828"/>
                <w:sz w:val="20"/>
              </w:rPr>
              <w:t>-3.0%</w:t>
            </w:r>
          </w:p>
        </w:tc>
        <w:tc>
          <w:tcPr>
            <w:tcW w:type="dxa" w:w="1512"/>
          </w:tcPr>
          <w:p>
            <w:pPr>
              <w:jc w:val="right"/>
            </w:pPr>
            <w:r/>
            <w:r>
              <w:rPr>
                <w:rFonts w:ascii="Cambria" w:hAnsi="Cambria"/>
                <w:b w:val="0"/>
                <w:color w:val="C62828"/>
                <w:sz w:val="20"/>
              </w:rPr>
              <w:t>-0.09</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2E7D32"/>
                <w:sz w:val="20"/>
              </w:rPr>
              <w:t>+1.6%</w:t>
            </w:r>
          </w:p>
        </w:tc>
        <w:tc>
          <w:tcPr>
            <w:tcW w:type="dxa" w:w="1728"/>
          </w:tcPr>
          <w:p>
            <w:pPr>
              <w:jc w:val="right"/>
            </w:pPr>
            <w:r/>
            <w:r>
              <w:rPr>
                <w:rFonts w:ascii="Cambria" w:hAnsi="Cambria"/>
                <w:b w:val="0"/>
                <w:color w:val="C62828"/>
                <w:sz w:val="20"/>
              </w:rPr>
              <w:t>-0.9%</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+2.0%</w:t>
            </w:r>
          </w:p>
        </w:tc>
        <w:tc>
          <w:tcPr>
            <w:tcW w:type="dxa" w:w="1728"/>
          </w:tcPr>
          <w:p>
            <w:pPr>
              <w:jc w:val="right"/>
            </w:pPr>
            <w:r/>
            <w:r>
              <w:rPr>
                <w:rFonts w:ascii="Cambria" w:hAnsi="Cambria"/>
                <w:b w:val="0"/>
                <w:color w:val="2E7D32"/>
                <w:sz w:val="20"/>
              </w:rPr>
              <w:t>+0.8%</w:t>
            </w:r>
          </w:p>
        </w:tc>
        <w:tc>
          <w:tcPr>
            <w:tcW w:type="dxa" w:w="1512"/>
          </w:tcPr>
          <w:p>
            <w:pPr>
              <w:jc w:val="right"/>
            </w:pPr>
            <w:r/>
            <w:r>
              <w:rPr>
                <w:rFonts w:ascii="Cambria" w:hAnsi="Cambria"/>
                <w:b w:val="0"/>
                <w:color w:val="2E7D32"/>
                <w:sz w:val="20"/>
              </w:rPr>
              <w:t>0.08</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ene-25</w:t>
            </w:r>
          </w:p>
        </w:tc>
        <w:tc>
          <w:tcPr>
            <w:tcW w:type="dxa" w:w="2304"/>
          </w:tcPr>
          <w:p>
            <w:pPr>
              <w:jc w:val="right"/>
            </w:pPr>
            <w:r/>
            <w:r>
              <w:rPr>
                <w:rFonts w:ascii="Cambria" w:hAnsi="Cambria"/>
                <w:b w:val="0"/>
                <w:color w:val="1F1F1F"/>
                <w:sz w:val="20"/>
              </w:rPr>
              <w:t>108.9</w:t>
            </w:r>
          </w:p>
        </w:tc>
        <w:tc>
          <w:tcPr>
            <w:tcW w:type="dxa" w:w="2304"/>
          </w:tcPr>
          <w:p>
            <w:pPr>
              <w:jc w:val="right"/>
            </w:pPr>
            <w:r/>
            <w:r>
              <w:rPr>
                <w:rFonts w:ascii="Cambria" w:hAnsi="Cambria"/>
                <w:b w:val="0"/>
                <w:color w:val="1F1F1F"/>
                <w:sz w:val="20"/>
              </w:rPr>
              <w:t>97.7</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feb-25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97.0</w:t>
            </w:r>
          </w:p>
        </w:tc>
        <w:tc>
          <w:tcPr>
            <w:tcW w:type="dxa" w:w="2304"/>
          </w:tcPr>
          <w:p>
            <w:pPr>
              <w:jc w:val="right"/>
            </w:pPr>
            <w:r/>
            <w:r>
              <w:rPr>
                <w:rFonts w:ascii="Cambria" w:hAnsi="Cambria"/>
                <w:b w:val="0"/>
                <w:color w:val="1F1F1F"/>
                <w:sz w:val="20"/>
              </w:rPr>
              <w:t>102.7</w:t>
            </w:r>
          </w:p>
        </w:tc>
      </w:tr>
      <w:tr>
        <w:trPr>
          <w:cantSplit/>
        </w:trPr>
        <w:tc>
          <w:tcPr>
            <w:tcW w:type="dxa" w:w="2304"/>
          </w:tcPr>
          <w:p>
            <w:r/>
            <w:r>
              <w:rPr>
                <w:rFonts w:ascii="Cambria" w:hAnsi="Cambria"/>
                <w:b w:val="0"/>
                <w:color w:val="1F1F1F"/>
                <w:sz w:val="20"/>
              </w:rPr>
              <w:t>mar-25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104.1</w:t>
            </w:r>
          </w:p>
        </w:tc>
        <w:tc>
          <w:tcPr>
            <w:tcW w:type="dxa" w:w="2304"/>
          </w:tcPr>
          <w:p>
            <w:pPr>
              <w:jc w:val="right"/>
            </w:pPr>
            <w:r/>
            <w:r>
              <w:rPr>
                <w:rFonts w:ascii="Cambria" w:hAnsi="Cambria"/>
                <w:b w:val="0"/>
                <w:color w:val="1F1F1F"/>
                <w:sz w:val="20"/>
              </w:rPr>
              <w:t>106.8</w:t>
            </w:r>
          </w:p>
        </w:tc>
      </w:tr>
      <w:tr>
        <w:trPr>
          <w:cantSplit/>
        </w:trPr>
        <w:tc>
          <w:tcPr>
            <w:tcW w:type="dxa" w:w="2304"/>
          </w:tcPr>
          <w:p>
            <w:r/>
            <w:r>
              <w:rPr>
                <w:rFonts w:ascii="Cambria" w:hAnsi="Cambria"/>
                <w:b w:val="0"/>
                <w:color w:val="1F1F1F"/>
                <w:sz w:val="20"/>
              </w:rPr>
              <w:t>abr-25</w:t>
            </w:r>
          </w:p>
        </w:tc>
        <w:tc>
          <w:tcPr>
            <w:tcW w:type="dxa" w:w="2304"/>
          </w:tcPr>
          <w:p>
            <w:pPr>
              <w:jc w:val="right"/>
            </w:pPr>
            <w:r/>
            <w:r>
              <w:rPr>
                <w:rFonts w:ascii="Cambria" w:hAnsi="Cambria"/>
                <w:b w:val="0"/>
                <w:color w:val="1F1F1F"/>
                <w:sz w:val="20"/>
              </w:rPr>
              <w:t>95.3</w:t>
            </w:r>
          </w:p>
        </w:tc>
        <w:tc>
          <w:tcPr>
            <w:tcW w:type="dxa" w:w="2304"/>
          </w:tcPr>
          <w:p>
            <w:pPr>
              <w:jc w:val="right"/>
            </w:pPr>
            <w:r/>
            <w:r>
              <w:rPr>
                <w:rFonts w:ascii="Cambria" w:hAnsi="Cambria"/>
                <w:b w:val="0"/>
                <w:color w:val="1F1F1F"/>
                <w:sz w:val="20"/>
              </w:rPr>
              <w:t>100.2</w:t>
            </w:r>
          </w:p>
        </w:tc>
        <w:tc>
          <w:tcPr>
            <w:tcW w:type="dxa" w:w="2304"/>
          </w:tcPr>
          <w:p>
            <w:pPr>
              <w:jc w:val="right"/>
            </w:pPr>
            <w:r/>
            <w:r>
              <w:rPr>
                <w:rFonts w:ascii="Cambria" w:hAnsi="Cambria"/>
                <w:b w:val="0"/>
                <w:color w:val="1F1F1F"/>
                <w:sz w:val="20"/>
              </w:rPr>
              <w:t>106.7</w:t>
            </w:r>
          </w:p>
        </w:tc>
      </w:tr>
      <w:tr>
        <w:trPr>
          <w:cantSplit/>
        </w:trPr>
        <w:tc>
          <w:tcPr>
            <w:tcW w:type="dxa" w:w="2304"/>
          </w:tcPr>
          <w:p>
            <w:r/>
            <w:r>
              <w:rPr>
                <w:rFonts w:ascii="Cambria" w:hAnsi="Cambria"/>
                <w:b w:val="0"/>
                <w:color w:val="1F1F1F"/>
                <w:sz w:val="20"/>
              </w:rPr>
              <w:t>may-25</w:t>
            </w:r>
          </w:p>
        </w:tc>
        <w:tc>
          <w:tcPr>
            <w:tcW w:type="dxa" w:w="2304"/>
          </w:tcPr>
          <w:p>
            <w:pPr>
              <w:jc w:val="right"/>
            </w:pPr>
            <w:r/>
            <w:r>
              <w:rPr>
                <w:rFonts w:ascii="Cambria" w:hAnsi="Cambria"/>
                <w:b w:val="0"/>
                <w:color w:val="1F1F1F"/>
                <w:sz w:val="20"/>
              </w:rPr>
              <w:t>119.2</w:t>
            </w:r>
          </w:p>
        </w:tc>
        <w:tc>
          <w:tcPr>
            <w:tcW w:type="dxa" w:w="2304"/>
          </w:tcPr>
          <w:p>
            <w:pPr>
              <w:jc w:val="right"/>
            </w:pPr>
            <w:r/>
            <w:r>
              <w:rPr>
                <w:rFonts w:ascii="Cambria" w:hAnsi="Cambria"/>
                <w:b w:val="0"/>
                <w:color w:val="1F1F1F"/>
                <w:sz w:val="20"/>
              </w:rPr>
              <w:t>104.4</w:t>
            </w:r>
          </w:p>
        </w:tc>
        <w:tc>
          <w:tcPr>
            <w:tcW w:type="dxa" w:w="2304"/>
          </w:tcPr>
          <w:p>
            <w:pPr>
              <w:jc w:val="right"/>
            </w:pPr>
            <w:r/>
            <w:r>
              <w:rPr>
                <w:rFonts w:ascii="Cambria" w:hAnsi="Cambria"/>
                <w:b w:val="0"/>
                <w:color w:val="1F1F1F"/>
                <w:sz w:val="20"/>
              </w:rPr>
              <w:t>108.5</w:t>
            </w:r>
          </w:p>
        </w:tc>
      </w:tr>
      <w:tr>
        <w:trPr>
          <w:cantSplit/>
        </w:trPr>
        <w:tc>
          <w:tcPr>
            <w:tcW w:type="dxa" w:w="2304"/>
          </w:tcPr>
          <w:p>
            <w:r/>
            <w:r>
              <w:rPr>
                <w:rFonts w:ascii="Cambria" w:hAnsi="Cambria"/>
                <w:b w:val="0"/>
                <w:color w:val="1F1F1F"/>
                <w:sz w:val="20"/>
              </w:rPr>
              <w:t>jun-25</w:t>
            </w:r>
          </w:p>
        </w:tc>
        <w:tc>
          <w:tcPr>
            <w:tcW w:type="dxa" w:w="2304"/>
          </w:tcPr>
          <w:p>
            <w:pPr>
              <w:jc w:val="right"/>
            </w:pPr>
            <w:r/>
            <w:r>
              <w:rPr>
                <w:rFonts w:ascii="Cambria" w:hAnsi="Cambria"/>
                <w:b w:val="0"/>
                <w:color w:val="1F1F1F"/>
                <w:sz w:val="20"/>
              </w:rPr>
              <w:t>110.7</w:t>
            </w:r>
          </w:p>
        </w:tc>
        <w:tc>
          <w:tcPr>
            <w:tcW w:type="dxa" w:w="2304"/>
          </w:tcPr>
          <w:p>
            <w:pPr>
              <w:jc w:val="right"/>
            </w:pPr>
            <w:r/>
            <w:r>
              <w:rPr>
                <w:rFonts w:ascii="Cambria" w:hAnsi="Cambria"/>
                <w:b w:val="0"/>
                <w:color w:val="1F1F1F"/>
                <w:sz w:val="20"/>
              </w:rPr>
              <w:t>100.9</w:t>
            </w:r>
          </w:p>
        </w:tc>
        <w:tc>
          <w:tcPr>
            <w:tcW w:type="dxa" w:w="2304"/>
          </w:tcPr>
          <w:p>
            <w:pPr>
              <w:jc w:val="right"/>
            </w:pPr>
            <w:r/>
            <w:r>
              <w:rPr>
                <w:rFonts w:ascii="Cambria" w:hAnsi="Cambria"/>
                <w:b w:val="0"/>
                <w:color w:val="1F1F1F"/>
                <w:sz w:val="20"/>
              </w:rPr>
              <w:t>106.2</w:t>
            </w:r>
          </w:p>
        </w:tc>
      </w:tr>
      <w:tr>
        <w:trPr>
          <w:cantSplit/>
        </w:trPr>
        <w:tc>
          <w:tcPr>
            <w:tcW w:type="dxa" w:w="2304"/>
          </w:tcPr>
          <w:p>
            <w:r/>
            <w:r>
              <w:rPr>
                <w:rFonts w:ascii="Cambria" w:hAnsi="Cambria"/>
                <w:b w:val="0"/>
                <w:color w:val="1F1F1F"/>
                <w:sz w:val="20"/>
              </w:rPr>
              <w:t>jul-25</w:t>
            </w:r>
          </w:p>
        </w:tc>
        <w:tc>
          <w:tcPr>
            <w:tcW w:type="dxa" w:w="2304"/>
          </w:tcPr>
          <w:p>
            <w:pPr>
              <w:jc w:val="right"/>
            </w:pPr>
            <w:r/>
            <w:r>
              <w:rPr>
                <w:rFonts w:ascii="Cambria" w:hAnsi="Cambria"/>
                <w:b w:val="0"/>
                <w:color w:val="1F1F1F"/>
                <w:sz w:val="20"/>
              </w:rPr>
              <w:t>102.5</w:t>
            </w:r>
          </w:p>
        </w:tc>
        <w:tc>
          <w:tcPr>
            <w:tcW w:type="dxa" w:w="2304"/>
          </w:tcPr>
          <w:p>
            <w:pPr>
              <w:jc w:val="right"/>
            </w:pPr>
            <w:r/>
            <w:r>
              <w:rPr>
                <w:rFonts w:ascii="Cambria" w:hAnsi="Cambria"/>
                <w:b w:val="0"/>
                <w:color w:val="1F1F1F"/>
                <w:sz w:val="20"/>
              </w:rPr>
              <w:t>101.6</w:t>
            </w:r>
          </w:p>
        </w:tc>
        <w:tc>
          <w:tcPr>
            <w:tcW w:type="dxa" w:w="2304"/>
          </w:tcPr>
          <w:p>
            <w:pPr>
              <w:jc w:val="right"/>
            </w:pPr>
            <w:r/>
            <w:r>
              <w:rPr>
                <w:rFonts w:ascii="Cambria" w:hAnsi="Cambria"/>
                <w:b w:val="0"/>
                <w:color w:val="1F1F1F"/>
                <w:sz w:val="20"/>
              </w:rPr>
              <w:t>108.2</w:t>
            </w:r>
          </w:p>
        </w:tc>
      </w:tr>
      <w:tr>
        <w:trPr>
          <w:cantSplit/>
        </w:trPr>
        <w:tc>
          <w:tcPr>
            <w:tcW w:type="dxa" w:w="2304"/>
          </w:tcPr>
          <w:p>
            <w:r/>
            <w:r>
              <w:rPr>
                <w:rFonts w:ascii="Cambria" w:hAnsi="Cambria"/>
                <w:b w:val="0"/>
                <w:color w:val="1F1F1F"/>
                <w:sz w:val="20"/>
              </w:rPr>
              <w:t>ago-25</w:t>
            </w:r>
          </w:p>
        </w:tc>
        <w:tc>
          <w:tcPr>
            <w:tcW w:type="dxa" w:w="2304"/>
          </w:tcPr>
          <w:p>
            <w:pPr>
              <w:jc w:val="right"/>
            </w:pPr>
            <w:r/>
            <w:r>
              <w:rPr>
                <w:rFonts w:ascii="Cambria" w:hAnsi="Cambria"/>
                <w:b w:val="0"/>
                <w:color w:val="1F1F1F"/>
                <w:sz w:val="20"/>
              </w:rPr>
              <w:t>99.7</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107.1</w:t>
            </w:r>
          </w:p>
        </w:tc>
      </w:tr>
      <w:tr>
        <w:trPr>
          <w:cantSplit/>
        </w:trPr>
        <w:tc>
          <w:tcPr>
            <w:tcW w:type="dxa" w:w="2304"/>
          </w:tcPr>
          <w:p>
            <w:r/>
            <w:r>
              <w:rPr>
                <w:rFonts w:ascii="Cambria" w:hAnsi="Cambria"/>
                <w:b w:val="0"/>
                <w:color w:val="1F1F1F"/>
                <w:sz w:val="20"/>
              </w:rPr>
              <w:t>sep-25</w:t>
            </w:r>
          </w:p>
        </w:tc>
        <w:tc>
          <w:tcPr>
            <w:tcW w:type="dxa" w:w="2304"/>
          </w:tcPr>
          <w:p>
            <w:pPr>
              <w:jc w:val="right"/>
            </w:pPr>
            <w:r/>
            <w:r>
              <w:rPr>
                <w:rFonts w:ascii="Cambria" w:hAnsi="Cambria"/>
                <w:b w:val="0"/>
                <w:color w:val="1F1F1F"/>
                <w:sz w:val="20"/>
              </w:rPr>
              <w:t>88.9</w:t>
            </w:r>
          </w:p>
        </w:tc>
        <w:tc>
          <w:tcPr>
            <w:tcW w:type="dxa" w:w="2304"/>
          </w:tcPr>
          <w:p>
            <w:pPr>
              <w:jc w:val="right"/>
            </w:pPr>
            <w:r/>
            <w:r>
              <w:rPr>
                <w:rFonts w:ascii="Cambria" w:hAnsi="Cambria"/>
                <w:b w:val="0"/>
                <w:color w:val="1F1F1F"/>
                <w:sz w:val="20"/>
              </w:rPr>
              <w:t>99.6</w:t>
            </w:r>
          </w:p>
        </w:tc>
        <w:tc>
          <w:tcPr>
            <w:tcW w:type="dxa" w:w="2304"/>
          </w:tcPr>
          <w:p>
            <w:pPr>
              <w:jc w:val="right"/>
            </w:pPr>
            <w:r/>
            <w:r>
              <w:rPr>
                <w:rFonts w:ascii="Cambria" w:hAnsi="Cambria"/>
                <w:b w:val="0"/>
                <w:color w:val="1F1F1F"/>
                <w:sz w:val="20"/>
              </w:rPr>
              <w:t>106.1</w:t>
            </w:r>
          </w:p>
        </w:tc>
      </w:tr>
      <w:tr>
        <w:trPr>
          <w:cantSplit/>
        </w:trPr>
        <w:tc>
          <w:tcPr>
            <w:tcW w:type="dxa" w:w="2304"/>
          </w:tcPr>
          <w:p>
            <w:r/>
            <w:r>
              <w:rPr>
                <w:rFonts w:ascii="Cambria" w:hAnsi="Cambria"/>
                <w:b w:val="0"/>
                <w:color w:val="1F1F1F"/>
                <w:sz w:val="20"/>
              </w:rPr>
              <w:t>oct-25</w:t>
            </w:r>
          </w:p>
        </w:tc>
        <w:tc>
          <w:tcPr>
            <w:tcW w:type="dxa" w:w="2304"/>
          </w:tcPr>
          <w:p>
            <w:pPr>
              <w:jc w:val="right"/>
            </w:pPr>
            <w:r/>
            <w:r>
              <w:rPr>
                <w:rFonts w:ascii="Cambria" w:hAnsi="Cambria"/>
                <w:b w:val="0"/>
                <w:color w:val="1F1F1F"/>
                <w:sz w:val="20"/>
              </w:rPr>
              <w:t>99.9</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110.1</w:t>
            </w:r>
          </w:p>
        </w:tc>
      </w:tr>
      <w:tr>
        <w:trPr>
          <w:cantSplit/>
        </w:trPr>
        <w:tc>
          <w:tcPr>
            <w:tcW w:type="dxa" w:w="2304"/>
          </w:tcPr>
          <w:p>
            <w:r/>
            <w:r>
              <w:rPr>
                <w:rFonts w:ascii="Cambria" w:hAnsi="Cambria"/>
                <w:b w:val="0"/>
                <w:color w:val="1F1F1F"/>
                <w:sz w:val="20"/>
              </w:rPr>
              <w:t>nov-25</w:t>
            </w:r>
          </w:p>
        </w:tc>
        <w:tc>
          <w:tcPr>
            <w:tcW w:type="dxa" w:w="2304"/>
          </w:tcPr>
          <w:p>
            <w:pPr>
              <w:jc w:val="right"/>
            </w:pPr>
            <w:r/>
            <w:r>
              <w:rPr>
                <w:rFonts w:ascii="Cambria" w:hAnsi="Cambria"/>
                <w:b w:val="0"/>
                <w:color w:val="1F1F1F"/>
                <w:sz w:val="20"/>
              </w:rPr>
              <w:t>126.0</w:t>
            </w:r>
          </w:p>
        </w:tc>
        <w:tc>
          <w:tcPr>
            <w:tcW w:type="dxa" w:w="2304"/>
          </w:tcPr>
          <w:p>
            <w:pPr>
              <w:jc w:val="right"/>
            </w:pPr>
            <w:r/>
            <w:r>
              <w:rPr>
                <w:rFonts w:ascii="Cambria" w:hAnsi="Cambria"/>
                <w:b w:val="0"/>
                <w:color w:val="1F1F1F"/>
                <w:sz w:val="20"/>
              </w:rPr>
              <w:t>101.5</w:t>
            </w:r>
          </w:p>
        </w:tc>
        <w:tc>
          <w:tcPr>
            <w:tcW w:type="dxa" w:w="2304"/>
          </w:tcPr>
          <w:p>
            <w:pPr>
              <w:jc w:val="right"/>
            </w:pPr>
            <w:r/>
            <w:r>
              <w:rPr>
                <w:rFonts w:ascii="Cambria" w:hAnsi="Cambria"/>
                <w:b w:val="0"/>
                <w:color w:val="1F1F1F"/>
                <w:sz w:val="20"/>
              </w:rPr>
              <w:t>110.4</w:t>
            </w:r>
          </w:p>
        </w:tc>
      </w:tr>
      <w:tr>
        <w:trPr>
          <w:cantSplit/>
        </w:trPr>
        <w:tc>
          <w:tcPr>
            <w:tcW w:type="dxa" w:w="2304"/>
          </w:tcPr>
          <w:p>
            <w:r/>
            <w:r>
              <w:rPr>
                <w:rFonts w:ascii="Cambria" w:hAnsi="Cambria"/>
                <w:b w:val="0"/>
                <w:color w:val="1F1F1F"/>
                <w:sz w:val="20"/>
              </w:rPr>
              <w:t>dic-25</w:t>
            </w:r>
          </w:p>
        </w:tc>
        <w:tc>
          <w:tcPr>
            <w:tcW w:type="dxa" w:w="2304"/>
          </w:tcPr>
          <w:p>
            <w:pPr>
              <w:jc w:val="right"/>
            </w:pPr>
            <w:r/>
            <w:r>
              <w:rPr>
                <w:rFonts w:ascii="Cambria" w:hAnsi="Cambria"/>
                <w:b w:val="0"/>
                <w:color w:val="1F1F1F"/>
                <w:sz w:val="20"/>
              </w:rPr>
              <w:t>148.3</w:t>
            </w:r>
          </w:p>
        </w:tc>
        <w:tc>
          <w:tcPr>
            <w:tcW w:type="dxa" w:w="2304"/>
          </w:tcPr>
          <w:p>
            <w:pPr>
              <w:jc w:val="right"/>
            </w:pPr>
            <w:r/>
            <w:r>
              <w:rPr>
                <w:rFonts w:ascii="Cambria" w:hAnsi="Cambria"/>
                <w:b w:val="0"/>
                <w:color w:val="1F1F1F"/>
                <w:sz w:val="20"/>
              </w:rPr>
              <w:t>98.4</w:t>
            </w:r>
          </w:p>
        </w:tc>
        <w:tc>
          <w:tcPr>
            <w:tcW w:type="dxa" w:w="2304"/>
          </w:tcPr>
          <w:p>
            <w:pPr>
              <w:jc w:val="right"/>
            </w:pPr>
            <w:r/>
            <w:r>
              <w:rPr>
                <w:rFonts w:ascii="Cambria" w:hAnsi="Cambria"/>
                <w:b w:val="0"/>
                <w:color w:val="1F1F1F"/>
                <w:sz w:val="20"/>
              </w:rPr>
              <w:t>110.3</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diciembre de 2025,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