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Enero 2026</w:t>
      </w:r>
    </w:p>
    <w:p>
      <w:pPr>
        <w:pStyle w:val="Heading1"/>
      </w:pPr>
      <w:r>
        <w:rPr>
          <w:rFonts w:ascii="Calibri Light" w:hAnsi="Calibri Light"/>
          <w:b/>
          <w:color w:val="4F81BD"/>
          <w:sz w:val="32"/>
        </w:rPr>
        <w:t>Evolución general del IGAE</w:t>
      </w:r>
    </w:p>
    <w:p>
      <w:r>
        <w:rPr>
          <w:rFonts w:ascii="Cambria" w:hAnsi="Cambria"/>
          <w:b w:val="0"/>
          <w:color w:val="1F1F1F"/>
          <w:sz w:val="22"/>
        </w:rPr>
        <w:t>Durante enero de 2026, el IGAE General se ubicó en 101.0 puntos (base 2018=100). Esto representa una variación mensual de -6.0% respecto al mes inmediato anterior. En comparación con enero de 2025 (cuando el índice se ubicó en 101.3 puntos), esto representa una variación anual de -0.4%.</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5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enero de 2025 vs. enero de 2026</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ene-25</w:t>
            </w:r>
          </w:p>
        </w:tc>
        <w:tc>
          <w:tcPr>
            <w:tcW w:type="dxa" w:w="1872"/>
            <w:shd w:val="clear" w:color="auto" w:fill="D9E2F3"/>
          </w:tcPr>
          <w:p>
            <w:pPr>
              <w:jc w:val="right"/>
            </w:pPr>
            <w:r/>
            <w:r>
              <w:rPr>
                <w:rFonts w:ascii="Cambria" w:hAnsi="Cambria"/>
                <w:b/>
                <w:color w:val="1F1F1F"/>
                <w:sz w:val="20"/>
              </w:rPr>
              <w:t>ene-26</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101.3</w:t>
            </w:r>
          </w:p>
        </w:tc>
        <w:tc>
          <w:tcPr>
            <w:tcW w:type="dxa" w:w="1872"/>
          </w:tcPr>
          <w:p>
            <w:pPr>
              <w:jc w:val="right"/>
            </w:pPr>
            <w:r/>
            <w:r>
              <w:rPr>
                <w:rFonts w:ascii="Cambria" w:hAnsi="Cambria"/>
                <w:b w:val="0"/>
                <w:color w:val="1F1F1F"/>
                <w:sz w:val="20"/>
              </w:rPr>
              <w:t>101.0</w:t>
            </w:r>
          </w:p>
        </w:tc>
        <w:tc>
          <w:tcPr>
            <w:tcW w:type="dxa" w:w="1872"/>
          </w:tcPr>
          <w:p>
            <w:pPr>
              <w:jc w:val="right"/>
            </w:pPr>
            <w:r/>
            <w:r>
              <w:rPr>
                <w:rFonts w:ascii="Cambria" w:hAnsi="Cambria"/>
                <w:b/>
                <w:color w:val="C62828"/>
                <w:sz w:val="20"/>
              </w:rPr>
              <w:t>-0.4%</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r>
        <w:trPr>
          <w:cantSplit/>
        </w:trPr>
        <w:tc>
          <w:tcPr>
            <w:tcW w:type="dxa" w:w="3168"/>
          </w:tcPr>
          <w:p>
            <w:r/>
            <w:r>
              <w:rPr>
                <w:rFonts w:ascii="Cambria" w:hAnsi="Cambria"/>
                <w:b w:val="0"/>
                <w:color w:val="1F1F1F"/>
                <w:sz w:val="20"/>
              </w:rPr>
              <w:t>dic-25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+3.3%</w:t>
            </w:r>
          </w:p>
        </w:tc>
      </w:tr>
      <w:tr>
        <w:trPr>
          <w:cantSplit/>
        </w:trPr>
        <w:tc>
          <w:tcPr>
            <w:tcW w:type="dxa" w:w="3168"/>
          </w:tcPr>
          <w:p>
            <w:r/>
            <w:r>
              <w:rPr>
                <w:rFonts w:ascii="Cambria" w:hAnsi="Cambria"/>
                <w:b w:val="0"/>
                <w:color w:val="1F1F1F"/>
                <w:sz w:val="20"/>
              </w:rPr>
              <w:t>ene-26</w:t>
            </w:r>
          </w:p>
        </w:tc>
        <w:tc>
          <w:tcPr>
            <w:tcW w:type="dxa" w:w="3168"/>
          </w:tcPr>
          <w:p>
            <w:pPr>
              <w:jc w:val="right"/>
            </w:pPr>
            <w:r/>
            <w:r>
              <w:rPr>
                <w:rFonts w:ascii="Cambria" w:hAnsi="Cambria"/>
                <w:b w:val="0"/>
                <w:color w:val="1F1F1F"/>
                <w:sz w:val="20"/>
              </w:rPr>
              <w:t>101.0</w:t>
            </w:r>
          </w:p>
        </w:tc>
        <w:tc>
          <w:tcPr>
            <w:tcW w:type="dxa" w:w="3024"/>
          </w:tcPr>
          <w:p>
            <w:pPr>
              <w:jc w:val="right"/>
            </w:pPr>
            <w:r/>
            <w:r>
              <w:rPr>
                <w:rFonts w:ascii="Cambria" w:hAnsi="Cambria"/>
                <w:b w:val="0"/>
                <w:color w:val="C62828"/>
                <w:sz w:val="20"/>
              </w:rPr>
              <w:t>-0.4%</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enero de 2026, la actividad económica con mayor nivel de índice fue Actividades primarias con un valor de 107.0, seguida de Actividades terciarias con 103.0 y Actividades secundarias con 96.7. En términos de crecimiento anual, Actividades terciarias registró la mayor variación (+0.1%), seguida de Actividades secundarias (-1.0%) y Actividades primarias (-1.8%). La siguiente tabla muestra el nivel del IGAE por actividad económica y su comparación contra enero de 2025.</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ene-25</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108.9</w:t>
            </w:r>
          </w:p>
        </w:tc>
        <w:tc>
          <w:tcPr>
            <w:tcW w:type="dxa" w:w="1296"/>
          </w:tcPr>
          <w:p>
            <w:pPr>
              <w:jc w:val="right"/>
            </w:pPr>
            <w:r/>
            <w:r>
              <w:rPr>
                <w:rFonts w:ascii="Cambria" w:hAnsi="Cambria"/>
                <w:b w:val="0"/>
                <w:color w:val="1F1F1F"/>
                <w:sz w:val="20"/>
              </w:rPr>
              <w:t>107.0</w:t>
            </w:r>
          </w:p>
        </w:tc>
        <w:tc>
          <w:tcPr>
            <w:tcW w:type="dxa" w:w="1296"/>
          </w:tcPr>
          <w:p>
            <w:pPr>
              <w:jc w:val="right"/>
            </w:pPr>
            <w:r/>
            <w:r>
              <w:rPr>
                <w:rFonts w:ascii="Cambria" w:hAnsi="Cambria"/>
                <w:b w:val="0"/>
                <w:color w:val="C62828"/>
                <w:sz w:val="20"/>
              </w:rPr>
              <w:t>-1.8%</w:t>
            </w:r>
          </w:p>
        </w:tc>
        <w:tc>
          <w:tcPr>
            <w:tcW w:type="dxa" w:w="1584"/>
          </w:tcPr>
          <w:p>
            <w:pPr>
              <w:jc w:val="right"/>
            </w:pPr>
            <w:r/>
            <w:r>
              <w:rPr>
                <w:rFonts w:ascii="Cambria" w:hAnsi="Cambria"/>
                <w:b w:val="0"/>
                <w:color w:val="C62828"/>
                <w:sz w:val="20"/>
              </w:rPr>
              <w:t>-1.8%</w:t>
            </w:r>
          </w:p>
        </w:tc>
        <w:tc>
          <w:tcPr>
            <w:tcW w:type="dxa" w:w="1440"/>
          </w:tcPr>
          <w:p>
            <w:pPr>
              <w:jc w:val="right"/>
            </w:pPr>
            <w:r/>
            <w:r>
              <w:rPr>
                <w:rFonts w:ascii="Cambria" w:hAnsi="Cambria"/>
                <w:b w:val="0"/>
                <w:color w:val="1F1F1F"/>
                <w:sz w:val="20"/>
              </w:rPr>
              <w:t>-0.07</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103.0</w:t>
            </w:r>
          </w:p>
        </w:tc>
        <w:tc>
          <w:tcPr>
            <w:tcW w:type="dxa" w:w="1296"/>
          </w:tcPr>
          <w:p>
            <w:pPr>
              <w:jc w:val="right"/>
            </w:pPr>
            <w:r/>
            <w:r>
              <w:rPr>
                <w:rFonts w:ascii="Cambria" w:hAnsi="Cambria"/>
                <w:b w:val="0"/>
                <w:color w:val="1F1F1F"/>
                <w:sz w:val="20"/>
              </w:rPr>
              <w:t>103.0</w:t>
            </w:r>
          </w:p>
        </w:tc>
        <w:tc>
          <w:tcPr>
            <w:tcW w:type="dxa" w:w="1296"/>
          </w:tcPr>
          <w:p>
            <w:pPr>
              <w:jc w:val="right"/>
            </w:pPr>
            <w:r/>
            <w:r>
              <w:rPr>
                <w:rFonts w:ascii="Cambria" w:hAnsi="Cambria"/>
                <w:b w:val="0"/>
                <w:color w:val="2E7D32"/>
                <w:sz w:val="20"/>
              </w:rPr>
              <w:t>+0.1%</w:t>
            </w:r>
          </w:p>
        </w:tc>
        <w:tc>
          <w:tcPr>
            <w:tcW w:type="dxa" w:w="1584"/>
          </w:tcPr>
          <w:p>
            <w:pPr>
              <w:jc w:val="right"/>
            </w:pPr>
            <w:r/>
            <w:r>
              <w:rPr>
                <w:rFonts w:ascii="Cambria" w:hAnsi="Cambria"/>
                <w:b w:val="0"/>
                <w:color w:val="2E7D32"/>
                <w:sz w:val="20"/>
              </w:rPr>
              <w:t>+0.1%</w:t>
            </w:r>
          </w:p>
        </w:tc>
        <w:tc>
          <w:tcPr>
            <w:tcW w:type="dxa" w:w="1440"/>
          </w:tcPr>
          <w:p>
            <w:pPr>
              <w:jc w:val="right"/>
            </w:pPr>
            <w:r/>
            <w:r>
              <w:rPr>
                <w:rFonts w:ascii="Cambria" w:hAnsi="Cambria"/>
                <w:b w:val="0"/>
                <w:color w:val="1F1F1F"/>
                <w:sz w:val="20"/>
              </w:rPr>
              <w:t>0.03</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97.7</w:t>
            </w:r>
          </w:p>
        </w:tc>
        <w:tc>
          <w:tcPr>
            <w:tcW w:type="dxa" w:w="1296"/>
          </w:tcPr>
          <w:p>
            <w:pPr>
              <w:jc w:val="right"/>
            </w:pPr>
            <w:r/>
            <w:r>
              <w:rPr>
                <w:rFonts w:ascii="Cambria" w:hAnsi="Cambria"/>
                <w:b w:val="0"/>
                <w:color w:val="1F1F1F"/>
                <w:sz w:val="20"/>
              </w:rPr>
              <w:t>96.7</w:t>
            </w:r>
          </w:p>
        </w:tc>
        <w:tc>
          <w:tcPr>
            <w:tcW w:type="dxa" w:w="1296"/>
          </w:tcPr>
          <w:p>
            <w:pPr>
              <w:jc w:val="right"/>
            </w:pPr>
            <w:r/>
            <w:r>
              <w:rPr>
                <w:rFonts w:ascii="Cambria" w:hAnsi="Cambria"/>
                <w:b w:val="0"/>
                <w:color w:val="C62828"/>
                <w:sz w:val="20"/>
              </w:rPr>
              <w:t>-1.0%</w:t>
            </w:r>
          </w:p>
        </w:tc>
        <w:tc>
          <w:tcPr>
            <w:tcW w:type="dxa" w:w="1584"/>
          </w:tcPr>
          <w:p>
            <w:pPr>
              <w:jc w:val="right"/>
            </w:pPr>
            <w:r/>
            <w:r>
              <w:rPr>
                <w:rFonts w:ascii="Cambria" w:hAnsi="Cambria"/>
                <w:b w:val="0"/>
                <w:color w:val="C62828"/>
                <w:sz w:val="20"/>
              </w:rPr>
              <w:t>-1.0%</w:t>
            </w:r>
          </w:p>
        </w:tc>
        <w:tc>
          <w:tcPr>
            <w:tcW w:type="dxa" w:w="1440"/>
          </w:tcPr>
          <w:p>
            <w:pPr>
              <w:jc w:val="right"/>
            </w:pPr>
            <w:r/>
            <w:r>
              <w:rPr>
                <w:rFonts w:ascii="Cambria" w:hAnsi="Cambria"/>
                <w:b w:val="0"/>
                <w:color w:val="1F1F1F"/>
                <w:sz w:val="20"/>
              </w:rPr>
              <w:t>-0.34</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enero de 2026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(-0.4%). Construcción fue el subsector que más aportó (0.25 pp), mientras que Industrias manufactureras fue el que más restó (-0.62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-1.8%</w:t>
            </w:r>
          </w:p>
        </w:tc>
        <w:tc>
          <w:tcPr>
            <w:tcW w:type="dxa" w:w="1728"/>
            <w:shd w:val="clear" w:color="auto" w:fill="EAF1FB"/>
          </w:tcPr>
          <w:p>
            <w:pPr>
              <w:jc w:val="right"/>
            </w:pPr>
            <w:r/>
            <w:r>
              <w:rPr>
                <w:rFonts w:ascii="Cambria" w:hAnsi="Cambria"/>
                <w:b/>
                <w:color w:val="C62828"/>
                <w:sz w:val="20"/>
              </w:rPr>
              <w:t>-1.8%</w:t>
            </w:r>
          </w:p>
        </w:tc>
        <w:tc>
          <w:tcPr>
            <w:tcW w:type="dxa" w:w="1512"/>
            <w:shd w:val="clear" w:color="auto" w:fill="EAF1FB"/>
          </w:tcPr>
          <w:p>
            <w:pPr>
              <w:jc w:val="right"/>
            </w:pPr>
            <w:r/>
            <w:r>
              <w:rPr>
                <w:rFonts w:ascii="Cambria" w:hAnsi="Cambria"/>
                <w:b/>
                <w:color w:val="C62828"/>
                <w:sz w:val="20"/>
              </w:rPr>
              <w:t>-0.07</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-5.4%</w:t>
            </w:r>
          </w:p>
        </w:tc>
        <w:tc>
          <w:tcPr>
            <w:tcW w:type="dxa" w:w="1728"/>
          </w:tcPr>
          <w:p>
            <w:pPr>
              <w:jc w:val="right"/>
            </w:pPr>
            <w:r/>
            <w:r>
              <w:rPr>
                <w:rFonts w:ascii="Cambria" w:hAnsi="Cambria"/>
                <w:b w:val="0"/>
                <w:color w:val="C62828"/>
                <w:sz w:val="20"/>
              </w:rPr>
              <w:t>-5.4%</w:t>
            </w:r>
          </w:p>
        </w:tc>
        <w:tc>
          <w:tcPr>
            <w:tcW w:type="dxa" w:w="1512"/>
          </w:tcPr>
          <w:p>
            <w:pPr>
              <w:jc w:val="right"/>
            </w:pPr>
            <w:r/>
            <w:r>
              <w:rPr>
                <w:rFonts w:ascii="Cambria" w:hAnsi="Cambria"/>
                <w:b w:val="0"/>
                <w:color w:val="C62828"/>
                <w:sz w:val="20"/>
              </w:rPr>
              <w:t>-0.13</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+5.8%</w:t>
            </w:r>
          </w:p>
        </w:tc>
        <w:tc>
          <w:tcPr>
            <w:tcW w:type="dxa" w:w="1728"/>
          </w:tcPr>
          <w:p>
            <w:pPr>
              <w:jc w:val="right"/>
            </w:pPr>
            <w:r/>
            <w:r>
              <w:rPr>
                <w:rFonts w:ascii="Cambria" w:hAnsi="Cambria"/>
                <w:b w:val="0"/>
                <w:color w:val="2E7D32"/>
                <w:sz w:val="20"/>
              </w:rPr>
              <w:t>+5.8%</w:t>
            </w:r>
          </w:p>
        </w:tc>
        <w:tc>
          <w:tcPr>
            <w:tcW w:type="dxa" w:w="1512"/>
          </w:tcPr>
          <w:p>
            <w:pPr>
              <w:jc w:val="right"/>
            </w:pPr>
            <w:r/>
            <w:r>
              <w:rPr>
                <w:rFonts w:ascii="Cambria" w:hAnsi="Cambria"/>
                <w:b w:val="0"/>
                <w:color w:val="2E7D32"/>
                <w:sz w:val="20"/>
              </w:rPr>
              <w:t>0.07</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-1.0%</w:t>
            </w:r>
          </w:p>
        </w:tc>
        <w:tc>
          <w:tcPr>
            <w:tcW w:type="dxa" w:w="1728"/>
            <w:shd w:val="clear" w:color="auto" w:fill="EAF1FB"/>
          </w:tcPr>
          <w:p>
            <w:pPr>
              <w:jc w:val="right"/>
            </w:pPr>
            <w:r/>
            <w:r>
              <w:rPr>
                <w:rFonts w:ascii="Cambria" w:hAnsi="Cambria"/>
                <w:b/>
                <w:color w:val="C62828"/>
                <w:sz w:val="20"/>
              </w:rPr>
              <w:t>-1.0%</w:t>
            </w:r>
          </w:p>
        </w:tc>
        <w:tc>
          <w:tcPr>
            <w:tcW w:type="dxa" w:w="1512"/>
            <w:shd w:val="clear" w:color="auto" w:fill="EAF1FB"/>
          </w:tcPr>
          <w:p>
            <w:pPr>
              <w:jc w:val="right"/>
            </w:pPr>
            <w:r/>
            <w:r>
              <w:rPr>
                <w:rFonts w:ascii="Cambria" w:hAnsi="Cambria"/>
                <w:b/>
                <w:color w:val="C62828"/>
                <w:sz w:val="20"/>
              </w:rPr>
              <w:t>-0.34</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+4.0%</w:t>
            </w:r>
          </w:p>
        </w:tc>
        <w:tc>
          <w:tcPr>
            <w:tcW w:type="dxa" w:w="1728"/>
          </w:tcPr>
          <w:p>
            <w:pPr>
              <w:jc w:val="right"/>
            </w:pPr>
            <w:r/>
            <w:r>
              <w:rPr>
                <w:rFonts w:ascii="Cambria" w:hAnsi="Cambria"/>
                <w:b w:val="0"/>
                <w:color w:val="2E7D32"/>
                <w:sz w:val="20"/>
              </w:rPr>
              <w:t>+4.0%</w:t>
            </w:r>
          </w:p>
        </w:tc>
        <w:tc>
          <w:tcPr>
            <w:tcW w:type="dxa" w:w="1512"/>
          </w:tcPr>
          <w:p>
            <w:pPr>
              <w:jc w:val="right"/>
            </w:pPr>
            <w:r/>
            <w:r>
              <w:rPr>
                <w:rFonts w:ascii="Cambria" w:hAnsi="Cambria"/>
                <w:b w:val="0"/>
                <w:color w:val="2E7D32"/>
                <w:sz w:val="20"/>
              </w:rPr>
              <w:t>0.25</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-2.8%</w:t>
            </w:r>
          </w:p>
        </w:tc>
        <w:tc>
          <w:tcPr>
            <w:tcW w:type="dxa" w:w="1512"/>
          </w:tcPr>
          <w:p>
            <w:pPr>
              <w:jc w:val="right"/>
            </w:pPr>
            <w:r/>
            <w:r>
              <w:rPr>
                <w:rFonts w:ascii="Cambria" w:hAnsi="Cambria"/>
                <w:b w:val="0"/>
                <w:color w:val="C62828"/>
                <w:sz w:val="20"/>
              </w:rPr>
              <w:t>-0.62</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+0.1%</w:t>
            </w:r>
          </w:p>
        </w:tc>
        <w:tc>
          <w:tcPr>
            <w:tcW w:type="dxa" w:w="1728"/>
            <w:shd w:val="clear" w:color="auto" w:fill="EAF1FB"/>
          </w:tcPr>
          <w:p>
            <w:pPr>
              <w:jc w:val="right"/>
            </w:pPr>
            <w:r/>
            <w:r>
              <w:rPr>
                <w:rFonts w:ascii="Cambria" w:hAnsi="Cambria"/>
                <w:b/>
                <w:color w:val="2E7D32"/>
                <w:sz w:val="20"/>
              </w:rPr>
              <w:t>+0.1%</w:t>
            </w:r>
          </w:p>
        </w:tc>
        <w:tc>
          <w:tcPr>
            <w:tcW w:type="dxa" w:w="1512"/>
            <w:shd w:val="clear" w:color="auto" w:fill="EAF1FB"/>
          </w:tcPr>
          <w:p>
            <w:pPr>
              <w:jc w:val="right"/>
            </w:pPr>
            <w:r/>
            <w:r>
              <w:rPr>
                <w:rFonts w:ascii="Cambria" w:hAnsi="Cambria"/>
                <w:b/>
                <w:color w:val="2E7D32"/>
                <w:sz w:val="20"/>
              </w:rPr>
              <w:t>0.03</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-1.4%</w:t>
            </w:r>
          </w:p>
        </w:tc>
        <w:tc>
          <w:tcPr>
            <w:tcW w:type="dxa" w:w="1728"/>
          </w:tcPr>
          <w:p>
            <w:pPr>
              <w:jc w:val="right"/>
            </w:pPr>
            <w:r/>
            <w:r>
              <w:rPr>
                <w:rFonts w:ascii="Cambria" w:hAnsi="Cambria"/>
                <w:b w:val="0"/>
                <w:color w:val="C62828"/>
                <w:sz w:val="20"/>
              </w:rPr>
              <w:t>-1.4%</w:t>
            </w:r>
          </w:p>
        </w:tc>
        <w:tc>
          <w:tcPr>
            <w:tcW w:type="dxa" w:w="1512"/>
          </w:tcPr>
          <w:p>
            <w:pPr>
              <w:jc w:val="right"/>
            </w:pPr>
            <w:r/>
            <w:r>
              <w:rPr>
                <w:rFonts w:ascii="Cambria" w:hAnsi="Cambria"/>
                <w:b w:val="0"/>
                <w:color w:val="C62828"/>
                <w:sz w:val="20"/>
              </w:rPr>
              <w:t>-0.14</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+0.2%</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C62828"/>
                <w:sz w:val="20"/>
              </w:rPr>
              <w:t>-0.4%</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+0.5%</w:t>
            </w:r>
          </w:p>
        </w:tc>
        <w:tc>
          <w:tcPr>
            <w:tcW w:type="dxa" w:w="1728"/>
          </w:tcPr>
          <w:p>
            <w:pPr>
              <w:jc w:val="right"/>
            </w:pPr>
            <w:r/>
            <w:r>
              <w:rPr>
                <w:rFonts w:ascii="Cambria" w:hAnsi="Cambria"/>
                <w:b w:val="0"/>
                <w:color w:val="2E7D32"/>
                <w:sz w:val="20"/>
              </w:rPr>
              <w:t>+0.5%</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+2.1%</w:t>
            </w:r>
          </w:p>
        </w:tc>
        <w:tc>
          <w:tcPr>
            <w:tcW w:type="dxa" w:w="1728"/>
          </w:tcPr>
          <w:p>
            <w:pPr>
              <w:jc w:val="right"/>
            </w:pPr>
            <w:r/>
            <w:r>
              <w:rPr>
                <w:rFonts w:ascii="Cambria" w:hAnsi="Cambria"/>
                <w:b w:val="0"/>
                <w:color w:val="2E7D32"/>
                <w:sz w:val="20"/>
              </w:rPr>
              <w:t>+2.1%</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C62828"/>
                <w:sz w:val="20"/>
              </w:rPr>
              <w:t>-5.7%</w:t>
            </w:r>
          </w:p>
        </w:tc>
        <w:tc>
          <w:tcPr>
            <w:tcW w:type="dxa" w:w="1728"/>
          </w:tcPr>
          <w:p>
            <w:pPr>
              <w:jc w:val="right"/>
            </w:pPr>
            <w:r/>
            <w:r>
              <w:rPr>
                <w:rFonts w:ascii="Cambria" w:hAnsi="Cambria"/>
                <w:b w:val="0"/>
                <w:color w:val="C62828"/>
                <w:sz w:val="20"/>
              </w:rPr>
              <w:t>-5.7%</w:t>
            </w:r>
          </w:p>
        </w:tc>
        <w:tc>
          <w:tcPr>
            <w:tcW w:type="dxa" w:w="1512"/>
          </w:tcPr>
          <w:p>
            <w:pPr>
              <w:jc w:val="right"/>
            </w:pPr>
            <w:r/>
            <w:r>
              <w:rPr>
                <w:rFonts w:ascii="Cambria" w:hAnsi="Cambria"/>
                <w:b w:val="0"/>
                <w:color w:val="C62828"/>
                <w:sz w:val="20"/>
              </w:rPr>
              <w:t>-0.14</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+2.1%</w:t>
            </w:r>
          </w:p>
        </w:tc>
        <w:tc>
          <w:tcPr>
            <w:tcW w:type="dxa" w:w="1728"/>
          </w:tcPr>
          <w:p>
            <w:pPr>
              <w:jc w:val="right"/>
            </w:pPr>
            <w:r/>
            <w:r>
              <w:rPr>
                <w:rFonts w:ascii="Cambria" w:hAnsi="Cambria"/>
                <w:b w:val="0"/>
                <w:color w:val="2E7D32"/>
                <w:sz w:val="20"/>
              </w:rPr>
              <w:t>+2.1%</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+3.9%</w:t>
            </w:r>
          </w:p>
        </w:tc>
        <w:tc>
          <w:tcPr>
            <w:tcW w:type="dxa" w:w="1728"/>
          </w:tcPr>
          <w:p>
            <w:pPr>
              <w:jc w:val="right"/>
            </w:pPr>
            <w:r/>
            <w:r>
              <w:rPr>
                <w:rFonts w:ascii="Cambria" w:hAnsi="Cambria"/>
                <w:b w:val="0"/>
                <w:color w:val="2E7D32"/>
                <w:sz w:val="20"/>
              </w:rPr>
              <w:t>+3.9%</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C62828"/>
                <w:sz w:val="20"/>
              </w:rPr>
              <w:t>-2.0%</w:t>
            </w:r>
          </w:p>
        </w:tc>
        <w:tc>
          <w:tcPr>
            <w:tcW w:type="dxa" w:w="1728"/>
          </w:tcPr>
          <w:p>
            <w:pPr>
              <w:jc w:val="right"/>
            </w:pPr>
            <w:r/>
            <w:r>
              <w:rPr>
                <w:rFonts w:ascii="Cambria" w:hAnsi="Cambria"/>
                <w:b w:val="0"/>
                <w:color w:val="C62828"/>
                <w:sz w:val="20"/>
              </w:rPr>
              <w:t>-2.0%</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-0.8%</w:t>
            </w:r>
          </w:p>
        </w:tc>
        <w:tc>
          <w:tcPr>
            <w:tcW w:type="dxa" w:w="1728"/>
          </w:tcPr>
          <w:p>
            <w:pPr>
              <w:jc w:val="right"/>
            </w:pPr>
            <w:r/>
            <w:r>
              <w:rPr>
                <w:rFonts w:ascii="Cambria" w:hAnsi="Cambria"/>
                <w:b w:val="0"/>
                <w:color w:val="C62828"/>
                <w:sz w:val="20"/>
              </w:rPr>
              <w:t>-0.8%</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+0.4%</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0.06</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r>
        <w:trPr>
          <w:cantSplit/>
        </w:trPr>
        <w:tc>
          <w:tcPr>
            <w:tcW w:type="dxa" w:w="2304"/>
          </w:tcPr>
          <w:p>
            <w:r/>
            <w:r>
              <w:rPr>
                <w:rFonts w:ascii="Cambria" w:hAnsi="Cambria"/>
                <w:b w:val="0"/>
                <w:color w:val="1F1F1F"/>
                <w:sz w:val="20"/>
              </w:rPr>
              <w:t>dic-25</w:t>
            </w:r>
          </w:p>
        </w:tc>
        <w:tc>
          <w:tcPr>
            <w:tcW w:type="dxa" w:w="2304"/>
          </w:tcPr>
          <w:p>
            <w:pPr>
              <w:jc w:val="right"/>
            </w:pPr>
            <w:r/>
            <w:r>
              <w:rPr>
                <w:rFonts w:ascii="Cambria" w:hAnsi="Cambria"/>
                <w:b w:val="0"/>
                <w:color w:val="1F1F1F"/>
                <w:sz w:val="20"/>
              </w:rPr>
              <w:t>148.3</w:t>
            </w:r>
          </w:p>
        </w:tc>
        <w:tc>
          <w:tcPr>
            <w:tcW w:type="dxa" w:w="2304"/>
          </w:tcPr>
          <w:p>
            <w:pPr>
              <w:jc w:val="right"/>
            </w:pPr>
            <w:r/>
            <w:r>
              <w:rPr>
                <w:rFonts w:ascii="Cambria" w:hAnsi="Cambria"/>
                <w:b w:val="0"/>
                <w:color w:val="1F1F1F"/>
                <w:sz w:val="20"/>
              </w:rPr>
              <w:t>98.4</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ene-26</w:t>
            </w:r>
          </w:p>
        </w:tc>
        <w:tc>
          <w:tcPr>
            <w:tcW w:type="dxa" w:w="2304"/>
          </w:tcPr>
          <w:p>
            <w:pPr>
              <w:jc w:val="right"/>
            </w:pPr>
            <w:r/>
            <w:r>
              <w:rPr>
                <w:rFonts w:ascii="Cambria" w:hAnsi="Cambria"/>
                <w:b w:val="0"/>
                <w:color w:val="1F1F1F"/>
                <w:sz w:val="20"/>
              </w:rPr>
              <w:t>107.0</w:t>
            </w:r>
          </w:p>
        </w:tc>
        <w:tc>
          <w:tcPr>
            <w:tcW w:type="dxa" w:w="2304"/>
          </w:tcPr>
          <w:p>
            <w:pPr>
              <w:jc w:val="right"/>
            </w:pPr>
            <w:r/>
            <w:r>
              <w:rPr>
                <w:rFonts w:ascii="Cambria" w:hAnsi="Cambria"/>
                <w:b w:val="0"/>
                <w:color w:val="1F1F1F"/>
                <w:sz w:val="20"/>
              </w:rPr>
              <w:t>96.7</w:t>
            </w:r>
          </w:p>
        </w:tc>
        <w:tc>
          <w:tcPr>
            <w:tcW w:type="dxa" w:w="2304"/>
          </w:tcPr>
          <w:p>
            <w:pPr>
              <w:jc w:val="right"/>
            </w:pPr>
            <w:r/>
            <w:r>
              <w:rPr>
                <w:rFonts w:ascii="Cambria" w:hAnsi="Cambria"/>
                <w:b w:val="0"/>
                <w:color w:val="1F1F1F"/>
                <w:sz w:val="20"/>
              </w:rPr>
              <w:t>103.0</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enero de 2026,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