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Junio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junio de 2026, el IGAE General se ubicó en 107.4 puntos (base 2018=100). Esto representa una variación mensual de -1.0% respecto al mes inmediato anterior. En comparación con junio de 2025 (cuando el índice se ubicó en 104.5 puntos), esto representa una variación anual de +2.8%.</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7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junio de 2025 vs. junio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jun-25</w:t>
            </w:r>
          </w:p>
        </w:tc>
        <w:tc>
          <w:tcPr>
            <w:tcW w:type="dxa" w:w="1872"/>
            <w:shd w:val="clear" w:color="auto" w:fill="D9E2F3"/>
          </w:tcPr>
          <w:p>
            <w:pPr>
              <w:jc w:val="right"/>
            </w:pPr>
            <w:r/>
            <w:r>
              <w:rPr>
                <w:rFonts w:ascii="Cambria" w:hAnsi="Cambria"/>
                <w:b/>
                <w:color w:val="1F1F1F"/>
                <w:sz w:val="20"/>
              </w:rPr>
              <w:t>jun-26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104.5</w:t>
            </w:r>
          </w:p>
        </w:tc>
        <w:tc>
          <w:tcPr>
            <w:tcW w:type="dxa" w:w="1872"/>
          </w:tcPr>
          <w:p>
            <w:pPr>
              <w:jc w:val="right"/>
            </w:pPr>
            <w:r/>
            <w:r>
              <w:rPr>
                <w:rFonts w:ascii="Cambria" w:hAnsi="Cambria"/>
                <w:b w:val="0"/>
                <w:color w:val="1F1F1F"/>
                <w:sz w:val="20"/>
              </w:rPr>
              <w:t>107.4</w:t>
            </w:r>
          </w:p>
        </w:tc>
        <w:tc>
          <w:tcPr>
            <w:tcW w:type="dxa" w:w="1872"/>
          </w:tcPr>
          <w:p>
            <w:pPr>
              <w:jc w:val="right"/>
            </w:pPr>
            <w:r/>
            <w:r>
              <w:rPr>
                <w:rFonts w:ascii="Cambria" w:hAnsi="Cambria"/>
                <w:b/>
                <w:color w:val="2E7D32"/>
                <w:sz w:val="20"/>
              </w:rPr>
              <w:t>+2.8%</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r>
        <w:trPr>
          <w:cantSplit/>
        </w:trPr>
        <w:tc>
          <w:tcPr>
            <w:tcW w:type="dxa" w:w="3168"/>
          </w:tcPr>
          <w:p>
            <w:r/>
            <w:r>
              <w:rPr>
                <w:rFonts w:ascii="Cambria" w:hAnsi="Cambria"/>
                <w:b w:val="0"/>
                <w:color w:val="1F1F1F"/>
                <w:sz w:val="20"/>
              </w:rPr>
              <w:t>abr-26</w:t>
            </w:r>
          </w:p>
        </w:tc>
        <w:tc>
          <w:tcPr>
            <w:tcW w:type="dxa" w:w="3168"/>
          </w:tcPr>
          <w:p>
            <w:pPr>
              <w:jc w:val="right"/>
            </w:pPr>
            <w:r/>
            <w:r>
              <w:rPr>
                <w:rFonts w:ascii="Cambria" w:hAnsi="Cambria"/>
                <w:b w:val="0"/>
                <w:color w:val="1F1F1F"/>
                <w:sz w:val="20"/>
              </w:rPr>
              <w:t>106.6</w:t>
            </w:r>
          </w:p>
        </w:tc>
        <w:tc>
          <w:tcPr>
            <w:tcW w:type="dxa" w:w="3024"/>
          </w:tcPr>
          <w:p>
            <w:pPr>
              <w:jc w:val="right"/>
            </w:pPr>
            <w:r/>
            <w:r>
              <w:rPr>
                <w:rFonts w:ascii="Cambria" w:hAnsi="Cambria"/>
                <w:b w:val="0"/>
                <w:color w:val="2E7D32"/>
                <w:sz w:val="20"/>
              </w:rPr>
              <w:t>+2.5%</w:t>
            </w:r>
          </w:p>
        </w:tc>
      </w:tr>
      <w:tr>
        <w:trPr>
          <w:cantSplit/>
        </w:trPr>
        <w:tc>
          <w:tcPr>
            <w:tcW w:type="dxa" w:w="3168"/>
          </w:tcPr>
          <w:p>
            <w:r/>
            <w:r>
              <w:rPr>
                <w:rFonts w:ascii="Cambria" w:hAnsi="Cambria"/>
                <w:b w:val="0"/>
                <w:color w:val="1F1F1F"/>
                <w:sz w:val="20"/>
              </w:rPr>
              <w:t>may-26</w:t>
            </w:r>
          </w:p>
        </w:tc>
        <w:tc>
          <w:tcPr>
            <w:tcW w:type="dxa" w:w="3168"/>
          </w:tcPr>
          <w:p>
            <w:pPr>
              <w:jc w:val="right"/>
            </w:pPr>
            <w:r/>
            <w:r>
              <w:rPr>
                <w:rFonts w:ascii="Cambria" w:hAnsi="Cambria"/>
                <w:b w:val="0"/>
                <w:color w:val="1F1F1F"/>
                <w:sz w:val="20"/>
              </w:rPr>
              <w:t>108.5</w:t>
            </w:r>
          </w:p>
        </w:tc>
        <w:tc>
          <w:tcPr>
            <w:tcW w:type="dxa" w:w="3024"/>
          </w:tcPr>
          <w:p>
            <w:pPr>
              <w:jc w:val="right"/>
            </w:pPr>
            <w:r/>
            <w:r>
              <w:rPr>
                <w:rFonts w:ascii="Cambria" w:hAnsi="Cambria"/>
                <w:b w:val="0"/>
                <w:color w:val="2E7D32"/>
                <w:sz w:val="20"/>
              </w:rPr>
              <w:t>+1.1%</w:t>
            </w:r>
          </w:p>
        </w:tc>
      </w:tr>
      <w:tr>
        <w:trPr>
          <w:cantSplit/>
        </w:trPr>
        <w:tc>
          <w:tcPr>
            <w:tcW w:type="dxa" w:w="3168"/>
          </w:tcPr>
          <w:p>
            <w:r/>
            <w:r>
              <w:rPr>
                <w:rFonts w:ascii="Cambria" w:hAnsi="Cambria"/>
                <w:b w:val="0"/>
                <w:color w:val="1F1F1F"/>
                <w:sz w:val="20"/>
              </w:rPr>
              <w:t>jun-26</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+2.8%</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junio de 2026, la actividad económica con mayor nivel de índice fue Actividades primarias con un valor de 111.3, seguida de Actividades terciarias con 110.0 y Actividades secundarias con 102.6. En términos de crecimiento anual, Actividades terciarias registró la mayor variación (+3.6%), seguida de Actividades secundarias (+1.7%) y Actividades primarias (+0.5%). La siguiente tabla muestra el nivel del IGAE por actividad económica y su comparación contra junio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jun-25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110.7</w:t>
            </w:r>
          </w:p>
        </w:tc>
        <w:tc>
          <w:tcPr>
            <w:tcW w:type="dxa" w:w="1296"/>
          </w:tcPr>
          <w:p>
            <w:pPr>
              <w:jc w:val="right"/>
            </w:pPr>
            <w:r/>
            <w:r>
              <w:rPr>
                <w:rFonts w:ascii="Cambria" w:hAnsi="Cambria"/>
                <w:b w:val="0"/>
                <w:color w:val="1F1F1F"/>
                <w:sz w:val="20"/>
              </w:rPr>
              <w:t>111.3</w:t>
            </w:r>
          </w:p>
        </w:tc>
        <w:tc>
          <w:tcPr>
            <w:tcW w:type="dxa" w:w="1296"/>
          </w:tcPr>
          <w:p>
            <w:pPr>
              <w:jc w:val="right"/>
            </w:pPr>
            <w:r/>
            <w:r>
              <w:rPr>
                <w:rFonts w:ascii="Cambria" w:hAnsi="Cambria"/>
                <w:b w:val="0"/>
                <w:color w:val="2E7D32"/>
                <w:sz w:val="20"/>
              </w:rPr>
              <w:t>+0.5%</w:t>
            </w:r>
          </w:p>
        </w:tc>
        <w:tc>
          <w:tcPr>
            <w:tcW w:type="dxa" w:w="1584"/>
          </w:tcPr>
          <w:p>
            <w:pPr>
              <w:jc w:val="right"/>
            </w:pPr>
            <w:r/>
            <w:r>
              <w:rPr>
                <w:rFonts w:ascii="Cambria" w:hAnsi="Cambria"/>
                <w:b w:val="0"/>
                <w:color w:val="2E7D32"/>
                <w:sz w:val="20"/>
              </w:rPr>
              <w:t>+2.2%</w:t>
            </w:r>
          </w:p>
        </w:tc>
        <w:tc>
          <w:tcPr>
            <w:tcW w:type="dxa" w:w="1440"/>
          </w:tcPr>
          <w:p>
            <w:pPr>
              <w:jc w:val="right"/>
            </w:pPr>
            <w:r/>
            <w:r>
              <w:rPr>
                <w:rFonts w:ascii="Cambria" w:hAnsi="Cambria"/>
                <w:b w:val="0"/>
                <w:color w:val="1F1F1F"/>
                <w:sz w:val="20"/>
              </w:rPr>
              <w:t>0.02</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106.2</w:t>
            </w:r>
          </w:p>
        </w:tc>
        <w:tc>
          <w:tcPr>
            <w:tcW w:type="dxa" w:w="1296"/>
          </w:tcPr>
          <w:p>
            <w:pPr>
              <w:jc w:val="right"/>
            </w:pPr>
            <w:r/>
            <w:r>
              <w:rPr>
                <w:rFonts w:ascii="Cambria" w:hAnsi="Cambria"/>
                <w:b w:val="0"/>
                <w:color w:val="1F1F1F"/>
                <w:sz w:val="20"/>
              </w:rPr>
              <w:t>110.0</w:t>
            </w:r>
          </w:p>
        </w:tc>
        <w:tc>
          <w:tcPr>
            <w:tcW w:type="dxa" w:w="1296"/>
          </w:tcPr>
          <w:p>
            <w:pPr>
              <w:jc w:val="right"/>
            </w:pPr>
            <w:r/>
            <w:r>
              <w:rPr>
                <w:rFonts w:ascii="Cambria" w:hAnsi="Cambria"/>
                <w:b w:val="0"/>
                <w:color w:val="2E7D32"/>
                <w:sz w:val="20"/>
              </w:rPr>
              <w:t>+3.6%</w:t>
            </w:r>
          </w:p>
        </w:tc>
        <w:tc>
          <w:tcPr>
            <w:tcW w:type="dxa" w:w="1584"/>
          </w:tcPr>
          <w:p>
            <w:pPr>
              <w:jc w:val="right"/>
            </w:pPr>
            <w:r/>
            <w:r>
              <w:rPr>
                <w:rFonts w:ascii="Cambria" w:hAnsi="Cambria"/>
                <w:b w:val="0"/>
                <w:color w:val="2E7D32"/>
                <w:sz w:val="20"/>
              </w:rPr>
              <w:t>+1.7%</w:t>
            </w:r>
          </w:p>
        </w:tc>
        <w:tc>
          <w:tcPr>
            <w:tcW w:type="dxa" w:w="1440"/>
          </w:tcPr>
          <w:p>
            <w:pPr>
              <w:jc w:val="right"/>
            </w:pPr>
            <w:r/>
            <w:r>
              <w:rPr>
                <w:rFonts w:ascii="Cambria" w:hAnsi="Cambria"/>
                <w:b w:val="0"/>
                <w:color w:val="1F1F1F"/>
                <w:sz w:val="20"/>
              </w:rPr>
              <w:t>2.22</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100.9</w:t>
            </w:r>
          </w:p>
        </w:tc>
        <w:tc>
          <w:tcPr>
            <w:tcW w:type="dxa" w:w="1296"/>
          </w:tcPr>
          <w:p>
            <w:pPr>
              <w:jc w:val="right"/>
            </w:pPr>
            <w:r/>
            <w:r>
              <w:rPr>
                <w:rFonts w:ascii="Cambria" w:hAnsi="Cambria"/>
                <w:b w:val="0"/>
                <w:color w:val="1F1F1F"/>
                <w:sz w:val="20"/>
              </w:rPr>
              <w:t>102.6</w:t>
            </w:r>
          </w:p>
        </w:tc>
        <w:tc>
          <w:tcPr>
            <w:tcW w:type="dxa" w:w="1296"/>
          </w:tcPr>
          <w:p>
            <w:pPr>
              <w:jc w:val="right"/>
            </w:pPr>
            <w:r/>
            <w:r>
              <w:rPr>
                <w:rFonts w:ascii="Cambria" w:hAnsi="Cambria"/>
                <w:b w:val="0"/>
                <w:color w:val="2E7D32"/>
                <w:sz w:val="20"/>
              </w:rPr>
              <w:t>+1.7%</w:t>
            </w:r>
          </w:p>
        </w:tc>
        <w:tc>
          <w:tcPr>
            <w:tcW w:type="dxa" w:w="1584"/>
          </w:tcPr>
          <w:p>
            <w:pPr>
              <w:jc w:val="right"/>
            </w:pPr>
            <w:r/>
            <w:r>
              <w:rPr>
                <w:rFonts w:ascii="Cambria" w:hAnsi="Cambria"/>
                <w:b w:val="0"/>
                <w:color w:val="1F1F1F"/>
                <w:sz w:val="20"/>
              </w:rPr>
              <w:t>0.0%</w:t>
            </w:r>
          </w:p>
        </w:tc>
        <w:tc>
          <w:tcPr>
            <w:tcW w:type="dxa" w:w="1440"/>
          </w:tcPr>
          <w:p>
            <w:pPr>
              <w:jc w:val="right"/>
            </w:pPr>
            <w:r/>
            <w:r>
              <w:rPr>
                <w:rFonts w:ascii="Cambria" w:hAnsi="Cambria"/>
                <w:b w:val="0"/>
                <w:color w:val="1F1F1F"/>
                <w:sz w:val="20"/>
              </w:rPr>
              <w:t>0.58</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junio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(+2.8%). Comercio al por mayor fue el subsector que más aportó (1.43 pp), mientras que Servicios de alojamiento temporal y de preparación de alimentos y bebidas fue el que más restó (-0.08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+0.5%</w:t>
            </w:r>
          </w:p>
        </w:tc>
        <w:tc>
          <w:tcPr>
            <w:tcW w:type="dxa" w:w="1728"/>
            <w:shd w:val="clear" w:color="auto" w:fill="EAF1FB"/>
          </w:tcPr>
          <w:p>
            <w:pPr>
              <w:jc w:val="right"/>
            </w:pPr>
            <w:r/>
            <w:r>
              <w:rPr>
                <w:rFonts w:ascii="Cambria" w:hAnsi="Cambria"/>
                <w:b/>
                <w:color w:val="2E7D32"/>
                <w:sz w:val="20"/>
              </w:rPr>
              <w:t>+2.2%</w:t>
            </w:r>
          </w:p>
        </w:tc>
        <w:tc>
          <w:tcPr>
            <w:tcW w:type="dxa" w:w="1512"/>
            <w:shd w:val="clear" w:color="auto" w:fill="EAF1FB"/>
          </w:tcPr>
          <w:p>
            <w:pPr>
              <w:jc w:val="right"/>
            </w:pPr>
            <w:r/>
            <w:r>
              <w:rPr>
                <w:rFonts w:ascii="Cambria" w:hAnsi="Cambria"/>
                <w:b/>
                <w:color w:val="2E7D32"/>
                <w:sz w:val="20"/>
              </w:rPr>
              <w:t>0.02</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+5.3%</w:t>
            </w:r>
          </w:p>
        </w:tc>
        <w:tc>
          <w:tcPr>
            <w:tcW w:type="dxa" w:w="1728"/>
          </w:tcPr>
          <w:p>
            <w:pPr>
              <w:jc w:val="right"/>
            </w:pPr>
            <w:r/>
            <w:r>
              <w:rPr>
                <w:rFonts w:ascii="Cambria" w:hAnsi="Cambria"/>
                <w:b w:val="0"/>
                <w:color w:val="2E7D32"/>
                <w:sz w:val="20"/>
              </w:rPr>
              <w:t>+5.1%</w:t>
            </w:r>
          </w:p>
        </w:tc>
        <w:tc>
          <w:tcPr>
            <w:tcW w:type="dxa" w:w="1512"/>
          </w:tcPr>
          <w:p>
            <w:pPr>
              <w:jc w:val="right"/>
            </w:pPr>
            <w:r/>
            <w:r>
              <w:rPr>
                <w:rFonts w:ascii="Cambria" w:hAnsi="Cambria"/>
                <w:b w:val="0"/>
                <w:color w:val="2E7D32"/>
                <w:sz w:val="20"/>
              </w:rPr>
              <w:t>0.07</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+1.7%</w:t>
            </w:r>
          </w:p>
        </w:tc>
        <w:tc>
          <w:tcPr>
            <w:tcW w:type="dxa" w:w="1728"/>
            <w:shd w:val="clear" w:color="auto" w:fill="EAF1FB"/>
          </w:tcPr>
          <w:p>
            <w:pPr>
              <w:jc w:val="right"/>
            </w:pPr>
            <w:r/>
            <w:r>
              <w:rPr>
                <w:rFonts w:ascii="Cambria" w:hAnsi="Cambria"/>
                <w:b/>
                <w:color w:val="1F1F1F"/>
                <w:sz w:val="20"/>
              </w:rPr>
              <w:t>0.0%</w:t>
            </w:r>
          </w:p>
        </w:tc>
        <w:tc>
          <w:tcPr>
            <w:tcW w:type="dxa" w:w="1512"/>
            <w:shd w:val="clear" w:color="auto" w:fill="EAF1FB"/>
          </w:tcPr>
          <w:p>
            <w:pPr>
              <w:jc w:val="right"/>
            </w:pPr>
            <w:r/>
            <w:r>
              <w:rPr>
                <w:rFonts w:ascii="Cambria" w:hAnsi="Cambria"/>
                <w:b/>
                <w:color w:val="2E7D32"/>
                <w:sz w:val="20"/>
              </w:rPr>
              <w:t>0.58</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+6.6%</w:t>
            </w:r>
          </w:p>
        </w:tc>
        <w:tc>
          <w:tcPr>
            <w:tcW w:type="dxa" w:w="1728"/>
          </w:tcPr>
          <w:p>
            <w:pPr>
              <w:jc w:val="right"/>
            </w:pPr>
            <w:r/>
            <w:r>
              <w:rPr>
                <w:rFonts w:ascii="Cambria" w:hAnsi="Cambria"/>
                <w:b w:val="0"/>
                <w:color w:val="2E7D32"/>
                <w:sz w:val="20"/>
              </w:rPr>
              <w:t>+3.8%</w:t>
            </w:r>
          </w:p>
        </w:tc>
        <w:tc>
          <w:tcPr>
            <w:tcW w:type="dxa" w:w="1512"/>
          </w:tcPr>
          <w:p>
            <w:pPr>
              <w:jc w:val="right"/>
            </w:pPr>
            <w:r/>
            <w:r>
              <w:rPr>
                <w:rFonts w:ascii="Cambria" w:hAnsi="Cambria"/>
                <w:b w:val="0"/>
                <w:color w:val="2E7D32"/>
                <w:sz w:val="20"/>
              </w:rPr>
              <w:t>0.23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C62828"/>
                <w:sz w:val="20"/>
              </w:rPr>
              <w:t>-0.2%</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0.31</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+0.1%</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+3.6%</w:t>
            </w:r>
          </w:p>
        </w:tc>
        <w:tc>
          <w:tcPr>
            <w:tcW w:type="dxa" w:w="1728"/>
            <w:shd w:val="clear" w:color="auto" w:fill="EAF1FB"/>
          </w:tcPr>
          <w:p>
            <w:pPr>
              <w:jc w:val="right"/>
            </w:pPr>
            <w:r/>
            <w:r>
              <w:rPr>
                <w:rFonts w:ascii="Cambria" w:hAnsi="Cambria"/>
                <w:b/>
                <w:color w:val="2E7D32"/>
                <w:sz w:val="20"/>
              </w:rPr>
              <w:t>+1.7%</w:t>
            </w:r>
          </w:p>
        </w:tc>
        <w:tc>
          <w:tcPr>
            <w:tcW w:type="dxa" w:w="1512"/>
            <w:shd w:val="clear" w:color="auto" w:fill="EAF1FB"/>
          </w:tcPr>
          <w:p>
            <w:pPr>
              <w:jc w:val="right"/>
            </w:pPr>
            <w:r/>
            <w:r>
              <w:rPr>
                <w:rFonts w:ascii="Cambria" w:hAnsi="Cambria"/>
                <w:b/>
                <w:color w:val="2E7D32"/>
                <w:sz w:val="20"/>
              </w:rPr>
              <w:t>2.22</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+14.3%</w:t>
            </w:r>
          </w:p>
        </w:tc>
        <w:tc>
          <w:tcPr>
            <w:tcW w:type="dxa" w:w="1728"/>
          </w:tcPr>
          <w:p>
            <w:pPr>
              <w:jc w:val="right"/>
            </w:pPr>
            <w:r/>
            <w:r>
              <w:rPr>
                <w:rFonts w:ascii="Cambria" w:hAnsi="Cambria"/>
                <w:b w:val="0"/>
                <w:color w:val="2E7D32"/>
                <w:sz w:val="20"/>
              </w:rPr>
              <w:t>+6.7%</w:t>
            </w:r>
          </w:p>
        </w:tc>
        <w:tc>
          <w:tcPr>
            <w:tcW w:type="dxa" w:w="1512"/>
          </w:tcPr>
          <w:p>
            <w:pPr>
              <w:jc w:val="right"/>
            </w:pPr>
            <w:r/>
            <w:r>
              <w:rPr>
                <w:rFonts w:ascii="Cambria" w:hAnsi="Cambria"/>
                <w:b w:val="0"/>
                <w:color w:val="2E7D32"/>
                <w:sz w:val="20"/>
              </w:rPr>
              <w:t>1.43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+2.0%</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0.22</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+1.2%</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+3.8%</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+2.0%</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+0.4%</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+2.0%</w:t>
            </w:r>
          </w:p>
        </w:tc>
        <w:tc>
          <w:tcPr>
            <w:tcW w:type="dxa" w:w="1728"/>
          </w:tcPr>
          <w:p>
            <w:pPr>
              <w:jc w:val="right"/>
            </w:pPr>
            <w:r/>
            <w:r>
              <w:rPr>
                <w:rFonts w:ascii="Cambria" w:hAnsi="Cambria"/>
                <w:b w:val="0"/>
                <w:color w:val="C62828"/>
                <w:sz w:val="20"/>
              </w:rPr>
              <w:t>-1.6%</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C62828"/>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+3.6%</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+0.3%</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-3.5%</w:t>
            </w:r>
          </w:p>
        </w:tc>
        <w:tc>
          <w:tcPr>
            <w:tcW w:type="dxa" w:w="1728"/>
          </w:tcPr>
          <w:p>
            <w:pPr>
              <w:jc w:val="right"/>
            </w:pPr>
            <w:r/>
            <w:r>
              <w:rPr>
                <w:rFonts w:ascii="Cambria" w:hAnsi="Cambria"/>
                <w:b w:val="0"/>
                <w:color w:val="C62828"/>
                <w:sz w:val="20"/>
              </w:rPr>
              <w:t>-2.7%</w:t>
            </w:r>
          </w:p>
        </w:tc>
        <w:tc>
          <w:tcPr>
            <w:tcW w:type="dxa" w:w="1512"/>
          </w:tcPr>
          <w:p>
            <w:pPr>
              <w:jc w:val="right"/>
            </w:pPr>
            <w:r/>
            <w:r>
              <w:rPr>
                <w:rFonts w:ascii="Cambria" w:hAnsi="Cambria"/>
                <w:b w:val="0"/>
                <w:color w:val="C62828"/>
                <w:sz w:val="20"/>
              </w:rPr>
              <w:t>-0.08</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+6.5%</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0.23</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r>
        <w:trPr>
          <w:cantSplit/>
        </w:trPr>
        <w:tc>
          <w:tcPr>
            <w:tcW w:type="dxa" w:w="2304"/>
          </w:tcPr>
          <w:p>
            <w:r/>
            <w:r>
              <w:rPr>
                <w:rFonts w:ascii="Cambria" w:hAnsi="Cambria"/>
                <w:b w:val="0"/>
                <w:color w:val="1F1F1F"/>
                <w:sz w:val="20"/>
              </w:rPr>
              <w:t>abr-26</w:t>
            </w:r>
          </w:p>
        </w:tc>
        <w:tc>
          <w:tcPr>
            <w:tcW w:type="dxa" w:w="2304"/>
          </w:tcPr>
          <w:p>
            <w:pPr>
              <w:jc w:val="right"/>
            </w:pPr>
            <w:r/>
            <w:r>
              <w:rPr>
                <w:rFonts w:ascii="Cambria" w:hAnsi="Cambria"/>
                <w:b w:val="0"/>
                <w:color w:val="1F1F1F"/>
                <w:sz w:val="20"/>
              </w:rPr>
              <w:t>104.6</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109.0</w:t>
            </w:r>
          </w:p>
        </w:tc>
      </w:tr>
      <w:tr>
        <w:trPr>
          <w:cantSplit/>
        </w:trPr>
        <w:tc>
          <w:tcPr>
            <w:tcW w:type="dxa" w:w="2304"/>
          </w:tcPr>
          <w:p>
            <w:r/>
            <w:r>
              <w:rPr>
                <w:rFonts w:ascii="Cambria" w:hAnsi="Cambria"/>
                <w:b w:val="0"/>
                <w:color w:val="1F1F1F"/>
                <w:sz w:val="20"/>
              </w:rPr>
              <w:t>may-26</w:t>
            </w:r>
          </w:p>
        </w:tc>
        <w:tc>
          <w:tcPr>
            <w:tcW w:type="dxa" w:w="2304"/>
          </w:tcPr>
          <w:p>
            <w:pPr>
              <w:jc w:val="right"/>
            </w:pPr>
            <w:r/>
            <w:r>
              <w:rPr>
                <w:rFonts w:ascii="Cambria" w:hAnsi="Cambria"/>
                <w:b w:val="0"/>
                <w:color w:val="1F1F1F"/>
                <w:sz w:val="20"/>
              </w:rPr>
              <w:t>125.7</w:t>
            </w:r>
          </w:p>
        </w:tc>
        <w:tc>
          <w:tcPr>
            <w:tcW w:type="dxa" w:w="2304"/>
          </w:tcPr>
          <w:p>
            <w:pPr>
              <w:jc w:val="right"/>
            </w:pPr>
            <w:r/>
            <w:r>
              <w:rPr>
                <w:rFonts w:ascii="Cambria" w:hAnsi="Cambria"/>
                <w:b w:val="0"/>
                <w:color w:val="1F1F1F"/>
                <w:sz w:val="20"/>
              </w:rPr>
              <w:t>103.8</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jun-26</w:t>
            </w:r>
          </w:p>
        </w:tc>
        <w:tc>
          <w:tcPr>
            <w:tcW w:type="dxa" w:w="2304"/>
          </w:tcPr>
          <w:p>
            <w:pPr>
              <w:jc w:val="right"/>
            </w:pPr>
            <w:r/>
            <w:r>
              <w:rPr>
                <w:rFonts w:ascii="Cambria" w:hAnsi="Cambria"/>
                <w:b w:val="0"/>
                <w:color w:val="1F1F1F"/>
                <w:sz w:val="20"/>
              </w:rPr>
              <w:t>111.3</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110.0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junio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