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ind w:left="0" w:firstLine="0"/>
        <w:rPr>
          <w:rFonts w:ascii="Arial" w:cs="Arial" w:eastAsia="Arial" w:hAnsi="Arial"/>
          <w:color w:val="1f1f1f"/>
        </w:rPr>
      </w:pPr>
      <w:r w:rsidDel="00000000" w:rsidR="00000000" w:rsidRPr="00000000">
        <w:rPr>
          <w:rFonts w:ascii="Arial" w:cs="Arial" w:eastAsia="Arial" w:hAnsi="Arial"/>
          <w:color w:val="1f1f1f"/>
          <w:rtl w:val="0"/>
        </w:rPr>
        <w:t xml:space="preserve">Paradigm Shift in Interpretable Credit Risk Assessment: A Multidisciplinary Logistic Regression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Structural Paradox of Retail Lending Analytics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modern retail lending landscape is defined by a fundamental structural paradox: the pursuit of superior predictive accuracy through highly parameterized, non-linear machine learning models fundamentally conflicts with the uncompromising regulatory mandates for transparency, fairness, and explainability. Advanced algorithms, such as LightGBM or deep neural networks, consistently demonstrate the capacity to achieve an Area Under the Receiver Operating Characteristic Curve (AUC) ceiling of approximately 0.82 by capturing complex, multi-dimensional interactions within consumer data.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Conversely, the operational baseline for heavily regulated institutions remains anchored to classical logistic regression, which typically stagnates near an AUC of 0.68 due to its strict linearity and inability to natively model complex feature interactions.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performance gap represents a massive opportunity cost in terms of lost revenue from false negatives and elevated risk from false positives. The business requirement dictates the construction of an interpretable predictive model that empowers the lender to make superior approval decisions while remaining entirely transparent to risk managers, stakeholders, and regulatory bodies. The absolute constraint is that the final inferential engine must be a logistic regression model. This constraint mirrors real-world credit modeling environments where regulatory compliance, such as the requirements stipulated by the Equal Credit Opportunity Act or the General Data Protection Regulation's "right to explanation," is paramount.</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bridge the chasm between the 0.68 baseline and the 0.82 theoretical ceiling without violating the linearity constraint, a radical reimagining of the feature engineering pipeline is required. Rather than relying on traditional financial ratios, this framework introduces a brilliant, exhaustive synthesis of concepts drawn from disparate scientific domains. By integrating principles from chaos theory, econophysics, neuromorphic biology, quantum cognition, epidemiology, avionics control theory, ecology, and advanced artificial intelligence, highly complex non-linear behaviors are distilled into univariate vectors. These vectors are subsequently processed through rigorous scorecard-style transformations, rendering them perfectly compatible with an interpretable logistic regression architecture. This report details the theoretical mechanisms, mathematical formulations, and business implementations of this revolutionary credit scoring ecosystem.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Information-Theoretic Foundations: Advanced Variable Transformation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elevate the logistic regression baseline without compromising its transparent nature, the transformation of raw applicant data into continuous, strictly monotonic features is essential. The industry standard Weight of Evidence (WoE) and Information Value (IV) constructs serve as the foundational bedrock for this transformation. These metrics are deeply anchored in information theory, serving as specific instantiations of classical information divergences.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Traditional implementations of WoE and IV in credit scoring often lack rigorous statistical boundaries, leading to arbitrary feature selection thresholds. A mathematically unified framework treats IV and the Population Stability Index (PSI) as symmetric measures of relative entropy—specifically the Jeffreys divergence—between the probability distributions of 'Good' and 'Bad' credit outcomes over identical bins.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By deriving standard errors for both IV and PSI through the application of the delta method to WoE transformations, rigorous statistical hypothesis testing is introduced into the feature selection and monitoring process.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theoretical formalization allows for the precise quantification of a performance-fairness optimization constraint. The selection of variables actively maximizes the IV with respect to default outcomes to guarantee predictive discrimination, while explicitly minimizing the IV with respect to protected demographic attributes to ensure fairness and the mitigation of disparate impact.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Features are evaluated not merely on their gross predictive power, but on their statistically significant, unbiased information yield.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Rather than relying on automated feature selection without explicit rationale, this framework utilizes depth-1 decision trees (stumps), such as those found in XGBoost architectures, guided by Chi-squared criteria to establish optimal, monotonically constrained binning thresholds.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transformation effectively neutralizes extreme outliers and handles missing data natively by treating the absence of information as an independent, quantifiable signal.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Most crucially, the WoE transformation enforces a linear relationship with the log-odds of the dependent variable, providing the precise mathematical environment required for optimal logistic regression performance and ensuring that every feature's contribution remains proportional and additively interpretable.</w:t>
      </w:r>
      <w:r w:rsidDel="00000000" w:rsidR="00000000" w:rsidRPr="00000000">
        <w:rPr>
          <w:rFonts w:ascii="Arial" w:cs="Arial" w:eastAsia="Arial" w:hAnsi="Arial"/>
          <w:color w:val="444746"/>
          <w:sz w:val="24"/>
          <w:szCs w:val="24"/>
          <w:vertAlign w:val="superscript"/>
          <w:rtl w:val="0"/>
        </w:rPr>
        <w:t xml:space="preserve">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Metric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Information-Theoretic Definition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Application in Logistic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Weight of Evidence (WoE)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Log-ratio of conditional probabilities of Good vs. Bad distributions.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Linearizes non-linear relationships into log-odds space for regression input.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Information Value (IV)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Jeffreys divergence between outcome classes.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Quantifies predictive power; filtered via statistical significance testing.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Population Stability Index (PSI)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Jeffreys divergence between temporal data cohorts.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Monitors covariate shift and feature degradation in production environments.</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Chaos Theory and Ensemble Forecasting in Credit Trajectories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Financial systems and individual credit behaviors are extraordinarily sensitive to initial conditions, a principle central to chaos theory and widely recognized as the butterfly effect.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 minor, seemingly inconsequential perturbation in an applicant's financial ecosystem—such as a nominal increase in a utility tariff or a slight delay in payroll processing—can precipitate a cascading sequence of liquidity shortfalls, ultimately resulting in a catastrophic credit default.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Classical static credit models fail to capture this extreme sensitivity, treating financial trajectories as linear extrapolations of past averages.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harness this concept for predictive modeling, the framework employs ensemble forecasting techniques traditionally utilized in meteorology to map the chaotic divergence of potential outcomes.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An applicant's historical transaction data is subjected to micro-perturbations—simulating minor income shocks or unexpected expense spikes across thousands of synthetic trajectories.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divergence of these simulated financial paths is quantified using a localized Lyapunov exponent. If the simulated trajectories rapidly diverge into insolvency under minimal perturbation, the applicant possesses a high Lyapunov score, indicating extreme vulnerability to the butterfly effect. This continuous measure of chaotic fragility is subsequently binned and transformed via WoE. The logistic regression model utilizes this transformed variable to penalize applicants who appear superficially stable but possess brittle, chaotic underlying financial structures, capturing hidden risks that traditional debt-to-income ratios completely ignore.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Econophysics: Debt Gravity and the Financial Event Horizon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Econophysics applies the rigorous principles of physical mechanics to complex economic and financial systems.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Within this paradigm, the accumulation of consumer liabilities is modeled not merely as an arithmetic sum, but as a dense mass exerting a continuous gravitational pull on the applicant's available liquidity.</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Traditional models rely on static leverage ratios, which fail to capture the compounding momentum of revolving debt. The "Debt Gravity Index" conceptualizes financial obligations mathematically. As an applicant acquires more high-interest revolving credit, the "mass" of their debt increases, warping their localized economic spacetime. To avoid structural default, the borrower must generate an exponentially higher "escape velocity"—represented by verified income generation and asset liquidation.</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the compounding interest and mandatory servicing costs outpace the borrower's income trajectory, they approach a theoretical "Event Horizon".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In astrophysics, the event horizon represents the boundary beyond which escape is impossible; in credit modeling, it is the precise mathematical point where default becomes structurally inevitable, regardless of the borrower's intent.</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distance to the event horizon is calculated dynamically by modeling the time-to-insolvency assuming steady-state income and historically observed payment behaviors. The output is a continuous temporal variable representing the estimated months until terminal liquidity failure. Translating this distance metric into discrete WoE bins provides the logistic model with a profoundly predictive feature. It enables the algorithm to apply massive negative evidentiary weights to borrowers trapped within this gravitational pull, significantly enhancing the model's precision in distinguishing between temporary delinquency and inevitable insolvency.</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Neuromorphic Consumer Behavior: Synaptic Plasticity and Habit Formation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prediction of credit default is fundamentally an exercise in predicting human behavioral trajectories. Classical credit scoring models rely on static snapshots of payment history, treating past delinquencies as indelible marks. A vastly superior paradigm leverages neurobiological models of learning and memory—specifically synaptic plasticity—to quantify the dynamic formation, strengthening, and degradation of financial habits over time.</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Hebbian Learning in Repayment Trajectories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core neurophysiological principle of Hebbian learning dictates that "cells that fire together, wire together," meaning that simultaneous activation of neurons strengthens their synaptic connection.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 the context of consumer credit behavior, this concept perfectly translates to the reinforcement of financial discipline through repeated, successful actions.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"Synaptic Repayment Habit" feature is engineered by assessing the temporal contiguity of income deposits and debt obligations. Let the synaptic strength of a borrower's repayment habit at time </w:t>
      </w:r>
      <w:r w:rsidDel="00000000" w:rsidR="00000000" w:rsidRPr="00000000">
        <w:rPr>
          <w:rFonts w:ascii="Arial" w:cs="Arial" w:eastAsia="Arial" w:hAnsi="Arial"/>
          <w:color w:val="1f1f1f"/>
        </w:rPr>
        <w:drawing>
          <wp:inline distB="19050" distT="19050" distL="19050" distR="19050">
            <wp:extent cx="66675" cy="258366"/>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6675" cy="258366"/>
                    </a:xfrm>
                    <a:prstGeom prst="rect"/>
                    <a:ln/>
                  </pic:spPr>
                </pic:pic>
              </a:graphicData>
            </a:graphic>
          </wp:inline>
        </w:drawing>
      </w:r>
      <w:r w:rsidDel="00000000" w:rsidR="00000000" w:rsidRPr="00000000">
        <w:rPr>
          <w:rFonts w:ascii="Arial" w:cs="Arial" w:eastAsia="Arial" w:hAnsi="Arial"/>
          <w:color w:val="1f1f1f"/>
          <w:rtl w:val="0"/>
        </w:rPr>
        <w:t xml:space="preserve"> be represented dynamically. This feature is updated sequentially across the applicant's historical transaction ledger using a covariance-based plasticity rule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70584"/>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05500" cy="47058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formulation, </w:t>
      </w:r>
      <w:r w:rsidDel="00000000" w:rsidR="00000000" w:rsidRPr="00000000">
        <w:rPr>
          <w:rFonts w:ascii="Arial" w:cs="Arial" w:eastAsia="Arial" w:hAnsi="Arial"/>
          <w:color w:val="1f1f1f"/>
        </w:rPr>
        <w:drawing>
          <wp:inline distB="19050" distT="19050" distL="19050" distR="19050">
            <wp:extent cx="151447" cy="234744"/>
            <wp:effectExtent b="0" l="0" r="0" t="0"/>
            <wp:docPr id="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151447" cy="234744"/>
                    </a:xfrm>
                    <a:prstGeom prst="rect"/>
                    <a:ln/>
                  </pic:spPr>
                </pic:pic>
              </a:graphicData>
            </a:graphic>
          </wp:inline>
        </w:drawing>
      </w:r>
      <w:r w:rsidDel="00000000" w:rsidR="00000000" w:rsidRPr="00000000">
        <w:rPr>
          <w:rFonts w:ascii="Arial" w:cs="Arial" w:eastAsia="Arial" w:hAnsi="Arial"/>
          <w:color w:val="1f1f1f"/>
          <w:rtl w:val="0"/>
        </w:rPr>
        <w:t xml:space="preserve"> represents the presence of disposable liquidity (the stimulus), </w:t>
      </w:r>
      <w:r w:rsidDel="00000000" w:rsidR="00000000" w:rsidRPr="00000000">
        <w:rPr>
          <w:rFonts w:ascii="Arial" w:cs="Arial" w:eastAsia="Arial" w:hAnsi="Arial"/>
          <w:color w:val="1f1f1f"/>
        </w:rPr>
        <w:drawing>
          <wp:inline distB="19050" distT="19050" distL="19050" distR="19050">
            <wp:extent cx="167402" cy="235884"/>
            <wp:effectExtent b="0" l="0" r="0" t="0"/>
            <wp:docPr id="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67402" cy="235884"/>
                    </a:xfrm>
                    <a:prstGeom prst="rect"/>
                    <a:ln/>
                  </pic:spPr>
                </pic:pic>
              </a:graphicData>
            </a:graphic>
          </wp:inline>
        </w:drawing>
      </w:r>
      <w:r w:rsidDel="00000000" w:rsidR="00000000" w:rsidRPr="00000000">
        <w:rPr>
          <w:rFonts w:ascii="Arial" w:cs="Arial" w:eastAsia="Arial" w:hAnsi="Arial"/>
          <w:color w:val="1f1f1f"/>
          <w:rtl w:val="0"/>
        </w:rPr>
        <w:t xml:space="preserve"> represents the execution of a credit payment (the response), </w:t>
      </w:r>
      <w:r w:rsidDel="00000000" w:rsidR="00000000" w:rsidRPr="00000000">
        <w:rPr>
          <w:rFonts w:ascii="Arial" w:cs="Arial" w:eastAsia="Arial" w:hAnsi="Arial"/>
          <w:color w:val="1f1f1f"/>
        </w:rPr>
        <w:drawing>
          <wp:inline distB="19050" distT="19050" distL="19050" distR="19050">
            <wp:extent cx="98227" cy="253752"/>
            <wp:effectExtent b="0" l="0" r="0" t="0"/>
            <wp:docPr id="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98227" cy="253752"/>
                    </a:xfrm>
                    <a:prstGeom prst="rect"/>
                    <a:ln/>
                  </pic:spPr>
                </pic:pic>
              </a:graphicData>
            </a:graphic>
          </wp:inline>
        </w:drawing>
      </w:r>
      <w:r w:rsidDel="00000000" w:rsidR="00000000" w:rsidRPr="00000000">
        <w:rPr>
          <w:rFonts w:ascii="Arial" w:cs="Arial" w:eastAsia="Arial" w:hAnsi="Arial"/>
          <w:color w:val="1f1f1f"/>
          <w:rtl w:val="0"/>
        </w:rPr>
        <w:t xml:space="preserve"> is the learning rate defining the reinforcement of timely payment, and </w:t>
      </w:r>
      <w:r w:rsidDel="00000000" w:rsidR="00000000" w:rsidRPr="00000000">
        <w:rPr>
          <w:rFonts w:ascii="Arial" w:cs="Arial" w:eastAsia="Arial" w:hAnsi="Arial"/>
          <w:color w:val="1f1f1f"/>
        </w:rPr>
        <w:drawing>
          <wp:inline distB="19050" distT="19050" distL="19050" distR="19050">
            <wp:extent cx="107513" cy="256378"/>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7513" cy="256378"/>
                    </a:xfrm>
                    <a:prstGeom prst="rect"/>
                    <a:ln/>
                  </pic:spPr>
                </pic:pic>
              </a:graphicData>
            </a:graphic>
          </wp:inline>
        </w:drawing>
      </w:r>
      <w:r w:rsidDel="00000000" w:rsidR="00000000" w:rsidRPr="00000000">
        <w:rPr>
          <w:rFonts w:ascii="Arial" w:cs="Arial" w:eastAsia="Arial" w:hAnsi="Arial"/>
          <w:color w:val="1f1f1f"/>
          <w:rtl w:val="0"/>
        </w:rPr>
        <w:t xml:space="preserve"> is a continuous decay factor representing the gradual erosion of financial discipline when the behavior is not repeated.</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By calculating this running synaptic weight, the model distinguishes between a borrower whose positive habits are currently strengthening and one whose discipline is neurologically degrading, offering a far more nuanced view than a simple count of missed payments.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Behavioral Timescale Synaptic Plasticity (BTSP)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long-term financial habits are modeled via traditional Hebbian frameworks, sudden shifts in borrower behavior require the modeling of short-term mechanisms. Behavioral Timescale Synaptic Plasticity (BTSP) represents a rapid, burst-dependent form of plasticity capable of driving learning and behavioral adaptation in merely a few trials or even a single shot.</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Within the credit context, BTSP algorithms are deployed to evaluate how an applicant responds to sudden exogenous shocks, such as a medical emergency or an unexpected job loss.</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By isolating these high-stress plateau events in the transactional data, the generalized BTSP rule measures the rapidity with which a borrower reorganizes their liquidity and alters their spending behavior to resume debt servicing.</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output is a continuous metric of psychological financial resilience and adaptive capacity. Translating these dynamic behavioral scores into decile bins and calculating the corresponding WoE feeds the logistic regression model a highly predictive, continuous measurement of human adaptability, seamlessly integrating neuromorphic principles into a classical statistical framework.</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Neuromorphic Concept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Credit Risk Analogue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Hebbian Learning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Long-term reinforcement of repayment discipline.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Covariance-based accumulation of on-time payment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Synaptic Decay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Erosion of financial habits over 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Exponential discounting of historical good behavior.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BTSP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Rapid adaptation to exogenous financial shocks.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One-shot learning measurement of liquidity reorganization.</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Quantum Cognition: Superposition and Interference in Financial States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Empirical evidence in behavioral economics demonstrates that human financial decision-making frequently violates classical probability theory, particularly the law of total probability, due to inherent cognitive biases, framing, and the contextual nature of information processing.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integration of Quantum Cognition principles provides a robust mathematical formalism to capture the ambiguity, context-dependence, and mutually exclusive states experienced by loan applicants.</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Superposition of Financial Intent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classical econometric models, an applicant's financial trajectory is treated as a deterministic, observable vector. Quantum cognition, however, views the applicant's mind as existing in a superposition of multiple potential states—simultaneously capable of financial recovery and catastrophic default—until a definitive triggering event or observation forces a collapse into a single concrete outcome.</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analyzing complex application-time data, cognitive uncertainty is quantified. For example, an applicant holding multiple precarious gig-economy jobs alongside high revolving debt exists in a high-amplitude superposition state. This dynamic is engineered as a "State Uncertainty Index," where the epistemic uncertainty of their financial stability is measured not as standard statistical variance, but as the modulus squared of a complex probability amplitude, effectively capturing the probabilities of probabilities.</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Quantum Interference and Order Effects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Categorization and sequential decision-making inherently create interference effects, which traditional cognitive models like Markov chains struggle to explain.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During the loan application process, the sequential provision of data—such as declaring dependents prior to declaring living expenses—alters the psychological context of the disclosures, generating order effects.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classical probability, the likelihood of a final outcome </w:t>
      </w:r>
      <w:r w:rsidDel="00000000" w:rsidR="00000000" w:rsidRPr="00000000">
        <w:rPr>
          <w:rFonts w:ascii="Arial" w:cs="Arial" w:eastAsia="Arial" w:hAnsi="Arial"/>
          <w:color w:val="1f1f1f"/>
        </w:rPr>
        <w:drawing>
          <wp:inline distB="19050" distT="19050" distL="19050" distR="19050">
            <wp:extent cx="624126" cy="23595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24126" cy="235950"/>
                    </a:xfrm>
                    <a:prstGeom prst="rect"/>
                    <a:ln/>
                  </pic:spPr>
                </pic:pic>
              </a:graphicData>
            </a:graphic>
          </wp:inline>
        </w:drawing>
      </w:r>
      <w:r w:rsidDel="00000000" w:rsidR="00000000" w:rsidRPr="00000000">
        <w:rPr>
          <w:rFonts w:ascii="Arial" w:cs="Arial" w:eastAsia="Arial" w:hAnsi="Arial"/>
          <w:color w:val="1f1f1f"/>
          <w:rtl w:val="0"/>
        </w:rPr>
        <w:t xml:space="preserve"> is simply the sum of the probabilities of all distinct, mutually exclusive paths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70584"/>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05500" cy="47058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Quantum cognition introduces the crucial Interference Term to account for overlapping and interacting cognitive states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70584"/>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05500" cy="47058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treating demographic and financial attributes as non-commuting variables within a Hilbert space, a "Quantum Interference Feature" is generated. This mathematical feature detects structural anomalies where the declared financial attributes conflict with classical expectations, identifying hidden psychological or behavioral risks that standard linear aggregations miss entirely.</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Once extracted, this interference metric undergoes WoE binning, allowing the logistic regression to ingest and evaluate complex, non-classical probabilistic interactions seamlessly.</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Epidemiology: Retail Default as a Viral Contagion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Credit defaults within a retail portfolio are rarely isolated, idiosyncratic events; they propagate dynamically through socio-economic networks via supply chain disruptions, regional economic downturns, and localized employment shocks.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By mapping macro-level applicant data onto established epidemiological models, the framework captures systemic risks that individual-level financial metrics inherently obscure.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Susceptible-Infected-Recovered (SIR) model, classically utilized in epidemiology to track the spread of viral infections, is adapted to measure regional and sectoral financial contagion.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The population of active borrowers within the macroeconomic environment is divided into distinct compartments: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Susceptible (</w:t>
      </w:r>
      <w:r w:rsidDel="00000000" w:rsidR="00000000" w:rsidRPr="00000000">
        <w:rPr>
          <w:rFonts w:ascii="Arial" w:cs="Arial" w:eastAsia="Arial" w:hAnsi="Arial"/>
          <w:b w:val="1"/>
          <w:bCs w:val="1"/>
          <w:color w:val="1f1f1f"/>
        </w:rPr>
        <w:drawing>
          <wp:inline distB="19050" distT="19050" distL="19050" distR="19050">
            <wp:extent cx="333970" cy="240769"/>
            <wp:effectExtent b="0" l="0" r="0" t="0"/>
            <wp:docPr id="1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33970" cy="24076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Borrowers currently in good standing but located in volatile industrial sectors or high-risk geographic postcodes.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Infected (</w:t>
      </w:r>
      <w:r w:rsidDel="00000000" w:rsidR="00000000" w:rsidRPr="00000000">
        <w:rPr>
          <w:rFonts w:ascii="Arial" w:cs="Arial" w:eastAsia="Arial" w:hAnsi="Arial"/>
          <w:b w:val="1"/>
          <w:bCs w:val="1"/>
          <w:color w:val="1f1f1f"/>
        </w:rPr>
        <w:drawing>
          <wp:inline distB="19050" distT="19050" distL="19050" distR="19050">
            <wp:extent cx="305872" cy="23705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05872" cy="23705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Borrowers actively in delinquency or experiencing acute financial distress.</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Recovered/Removed (</w:t>
      </w:r>
      <w:r w:rsidDel="00000000" w:rsidR="00000000" w:rsidRPr="00000000">
        <w:rPr>
          <w:rFonts w:ascii="Arial" w:cs="Arial" w:eastAsia="Arial" w:hAnsi="Arial"/>
          <w:b w:val="1"/>
          <w:bCs w:val="1"/>
          <w:color w:val="1f1f1f"/>
        </w:rPr>
        <w:drawing>
          <wp:inline distB="19050" distT="19050" distL="19050" distR="19050">
            <wp:extent cx="351592" cy="236942"/>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51592" cy="236942"/>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Borrowers who have either cured their arrears (developed financial immunity) or proceeded to terminal default and write-off (removed from the system).</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differential equations governing the spread rate (</w:t>
      </w:r>
      <w:r w:rsidDel="00000000" w:rsidR="00000000" w:rsidRPr="00000000">
        <w:rPr>
          <w:rFonts w:ascii="Arial" w:cs="Arial" w:eastAsia="Arial" w:hAnsi="Arial"/>
          <w:color w:val="1f1f1f"/>
        </w:rPr>
        <w:drawing>
          <wp:inline distB="19050" distT="19050" distL="19050" distR="19050">
            <wp:extent cx="114062" cy="235728"/>
            <wp:effectExtent b="0" l="0" r="0" t="0"/>
            <wp:docPr id="1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14062" cy="235728"/>
                    </a:xfrm>
                    <a:prstGeom prst="rect"/>
                    <a:ln/>
                  </pic:spPr>
                </pic:pic>
              </a:graphicData>
            </a:graphic>
          </wp:inline>
        </w:drawing>
      </w:r>
      <w:r w:rsidDel="00000000" w:rsidR="00000000" w:rsidRPr="00000000">
        <w:rPr>
          <w:rFonts w:ascii="Arial" w:cs="Arial" w:eastAsia="Arial" w:hAnsi="Arial"/>
          <w:color w:val="1f1f1f"/>
          <w:rtl w:val="0"/>
        </w:rPr>
        <w:t xml:space="preserve">) and the recovery speed (</w:t>
      </w:r>
      <w:r w:rsidDel="00000000" w:rsidR="00000000" w:rsidRPr="00000000">
        <w:rPr>
          <w:rFonts w:ascii="Arial" w:cs="Arial" w:eastAsia="Arial" w:hAnsi="Arial"/>
          <w:color w:val="1f1f1f"/>
        </w:rPr>
        <w:drawing>
          <wp:inline distB="19050" distT="19050" distL="19050" distR="19050">
            <wp:extent cx="105847" cy="252403"/>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05847" cy="252403"/>
                    </a:xfrm>
                    <a:prstGeom prst="rect"/>
                    <a:ln/>
                  </pic:spPr>
                </pic:pic>
              </a:graphicData>
            </a:graphic>
          </wp:inline>
        </w:drawing>
      </w:r>
      <w:r w:rsidDel="00000000" w:rsidR="00000000" w:rsidRPr="00000000">
        <w:rPr>
          <w:rFonts w:ascii="Arial" w:cs="Arial" w:eastAsia="Arial" w:hAnsi="Arial"/>
          <w:color w:val="1f1f1f"/>
          <w:rtl w:val="0"/>
        </w:rPr>
        <w:t xml:space="preserve">) are calculated continuously for granular geographic and occupational cohorts </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3143"/>
            <wp:effectExtent b="0" l="0" r="0" t="0"/>
            <wp:docPr id="1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05500" cy="60314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3143"/>
            <wp:effectExtent b="0" l="0" r="0" t="0"/>
            <wp:docPr id="18"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05500" cy="60314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"Macro-Contagion Vulnerability Score" is engineered for each applicant by mapping their specific employer size, industry sector, and geographic location against the prevailing SIR dynamics of that precise socio-economic ecosystem.</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This methodology effectively isolates applicants who possess pristine individual credit histories but are unknowingly positioned at the epicenter of an expanding economic infection, dramatically elevating the model's predictive capabilities.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Ecology: Supply Chain Food Webs and Keystone Species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Ecological network theory provides a powerful mechanism to further refine the parameters of the epidemiological contagion model. Within any regional or national economy, certain dominant employers, core industries, or critical infrastructure providers function as "Keystone Species".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In biological ecosystems, the loss of a keystone species causes a disproportionate collapse of the community structure and dramatic reductions in biomass.</w:t>
      </w:r>
      <w:r w:rsidDel="00000000" w:rsidR="00000000" w:rsidRPr="00000000">
        <w:rPr>
          <w:rFonts w:ascii="Arial" w:cs="Arial" w:eastAsia="Arial" w:hAnsi="Arial"/>
          <w:color w:val="444746"/>
          <w:sz w:val="24"/>
          <w:szCs w:val="24"/>
          <w:vertAlign w:val="superscript"/>
          <w:rtl w:val="0"/>
        </w:rPr>
        <w:t xml:space="preserve">48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Translated to credit risk, the failure, contraction, or relocation of a keystone economic entity (for example, the closure of a primary automotive manufacturing plant in a mid-sized municipality) severely degrades the ecosystem's structural integrity. This failure acts as a massive exogenous shock, accelerating the transmission rate of defaults through the retail supply chain as secondary suppliers and local service industries face immediate revenue contraction.</w:t>
      </w:r>
      <w:r w:rsidDel="00000000" w:rsidR="00000000" w:rsidRPr="00000000">
        <w:rPr>
          <w:rFonts w:ascii="Arial" w:cs="Arial" w:eastAsia="Arial" w:hAnsi="Arial"/>
          <w:color w:val="444746"/>
          <w:sz w:val="24"/>
          <w:szCs w:val="24"/>
          <w:vertAlign w:val="superscript"/>
          <w:rtl w:val="0"/>
        </w:rPr>
        <w:t xml:space="preserve">45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utilizing input-output tables and regional employment concentration metrics, the framework maps the "food web" of the applicant's local economy. Applicants whose primary source of income is situated closely downstream from a highly leveraged or volatile keystone entity are flagged with an "Ecological Dependency Penalty." Through WoE binning, the logistic regression model learns to associate this systemic vulnerability with higher probabilities of default, bridging the gap between macro-economic structural risk and individual retail lending decisions.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Avionics and Control Theory: Dynamic Lending Limits via PID Systems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Consumer credit utilization frequently exhibits erratic volatility that static snapshots fail to quantify. To effectively capture, monitor, and penalize erratic drawdowns on revolving credit facilities, the analytical framework draws heavily on modern flight control systems and Proportional-Integral-Derivative (PID) control theory.</w:t>
      </w:r>
      <w:r w:rsidDel="00000000" w:rsidR="00000000" w:rsidRPr="00000000">
        <w:rPr>
          <w:rFonts w:ascii="Arial" w:cs="Arial" w:eastAsia="Arial" w:hAnsi="Arial"/>
          <w:color w:val="444746"/>
          <w:sz w:val="24"/>
          <w:szCs w:val="24"/>
          <w:vertAlign w:val="superscript"/>
          <w:rtl w:val="0"/>
        </w:rPr>
        <w:t xml:space="preserve">50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In avionics, a PID controller constantly calculates an error value as the difference between a desired setpoint (e.g., a specific altitude) and a measured process variable, applying precise corrections based on proportional, integral, and derivative mathematical terms to maintain aircraft stability under turbulent conditions.</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Applied to credit modeling, the "setpoint" represents a stable, optimal credit utilization ratio—for instance, 20% utilization of available limits. The applicant's actual credit utilization over the trailing 12-month period acts as the dynamic process variable.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The PID feature is constructed by aggregating three distinct, continuous signals </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Proportional Term (</w:t>
      </w:r>
      <w:r w:rsidDel="00000000" w:rsidR="00000000" w:rsidRPr="00000000">
        <w:rPr>
          <w:rFonts w:ascii="Arial" w:cs="Arial" w:eastAsia="Arial" w:hAnsi="Arial"/>
          <w:b w:val="1"/>
          <w:bCs w:val="1"/>
          <w:color w:val="1f1f1f"/>
        </w:rPr>
        <w:drawing>
          <wp:inline distB="19050" distT="19050" distL="19050" distR="19050">
            <wp:extent cx="230743" cy="238435"/>
            <wp:effectExtent b="0" l="0" r="0" t="0"/>
            <wp:docPr id="1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30743" cy="23843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Calculates the current absolute deviation from the optimal utilization setpoint.</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Integral Term (</w:t>
      </w:r>
      <w:r w:rsidDel="00000000" w:rsidR="00000000" w:rsidRPr="00000000">
        <w:rPr>
          <w:rFonts w:ascii="Arial" w:cs="Arial" w:eastAsia="Arial" w:hAnsi="Arial"/>
          <w:b w:val="1"/>
          <w:bCs w:val="1"/>
          <w:color w:val="1f1f1f"/>
        </w:rPr>
        <w:drawing>
          <wp:inline distB="19050" distT="19050" distL="19050" distR="19050">
            <wp:extent cx="210383" cy="241551"/>
            <wp:effectExtent b="0" l="0" r="0" t="0"/>
            <wp:docPr id="2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10383" cy="241551"/>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Quantifies the accumulation of high utilization over time. An applicant operating at 90% utilization for 12 consecutive months generates a massive integral penalty, mathematically analogous to prolonged, uncorrected structural stress on an airframe.</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Derivative Term (</w:t>
      </w:r>
      <w:r w:rsidDel="00000000" w:rsidR="00000000" w:rsidRPr="00000000">
        <w:rPr>
          <w:rFonts w:ascii="Arial" w:cs="Arial" w:eastAsia="Arial" w:hAnsi="Arial"/>
          <w:b w:val="1"/>
          <w:bCs w:val="1"/>
          <w:color w:val="1f1f1f"/>
        </w:rPr>
        <w:drawing>
          <wp:inline distB="19050" distT="19050" distL="19050" distR="19050">
            <wp:extent cx="232886" cy="240649"/>
            <wp:effectExtent b="0" l="0" r="0" t="0"/>
            <wp:docPr id="2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32886" cy="24064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Measures the rate of change or acceleration in utilization. A sudden, rapid maximization of previously dormant credit lines generates a sharp derivative spike, acting as an immediate, highly sensitive leading indicator of an acute liquidity crisis.</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mathematically combining these three terms into a singular "PID Control Deficit" score, the model identifies erratic, un-stabilized financial momentum.</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 Through rigorous WoE transformation, this avionics-inspired feature integrates cleanly into the logistic framework, providing unparalleled sensitivity to behavioral velocity and acceleration that static averages completely mask.</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Revolution: Operating on Raw, Unstructured Data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Historically, logistic regression models have been strictly confined to processing structured tabular data. However, modern financial institutions possess vast repositories of unstructured data, including raw transaction descriptions, customer service chat transcripts, loan application memos, and open-banking narrative data. The Large Language Model (LLM) revolution provides the mechanism to unlock this latent predictive value.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Rather than attempting to feed raw text into the logistic regression—which is mathematically impossible—specialized, fine-tuned LLMs act as sophisticated upstream feature extractors. The LLM processes the unstructured text to identify subtle behavioral markers, sentiment shifts, and signs of financial distress that are entirely absent from standard numeric fields. For instance, the semantic analysis of transaction memos might reveal an increasing reliance on high-cost payday lenders or predatory check-cashing services long before these actions impact the formal credit score.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LLM outputs continuous probability scores or dense vector embeddings representing the intensity of these identified behavioral risks. These continuous outputs are then subjected to the identical WoE and IV optimal binning pipeline used for all other features. By transforming the complex linguistic analysis into standard, log-odds aligned categorical bins, the vast intelligence of the LLM is seamlessly transferred into the interpretable, regulatory-compliant logistic regression framework.</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Symmetry-Aware Deep Learning on Tabular Data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explicit requirement to utilize a logistic regression classifier prohibits the direct use of multi-layer perceptrons or gradient boosting machines for final probability estimation. However, advanced deep learning paradigms are masterfully repurposed as purely upstream feature generators, specifically leveraging Symmetry-Aware Deep Learning.</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Financial datasets possess inherent symmetries and structural invariances. For instance, temporal translation symmetry dictates that specific sequences of financial distress signify the identical core risk irrespective of the exact calendar month they occur.</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Similarly, representational symmetry ensures balanced feature learning, preventing a model from disproportionately overweighting single, highly-correlated indicators purely due to their position in the input space.</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harness these properties, a Symmetry-Aware Heterogeneous Graph Neural Network (SA-GNN) or Non-Parametric Transformer (NPT) is deployed strictly in the data preprocessing phase. This network aggregates raw transaction logs, peer-group relationships, and structural banking nodes, explicitly maintaining permutation and rotational equivariance during its forward pass to capture both feature-feature and sample-sample dependencies.</w:t>
      </w:r>
      <w:r w:rsidDel="00000000" w:rsidR="00000000" w:rsidRPr="00000000">
        <w:rPr>
          <w:rFonts w:ascii="Arial" w:cs="Arial" w:eastAsia="Arial" w:hAnsi="Arial"/>
          <w:color w:val="444746"/>
          <w:sz w:val="24"/>
          <w:szCs w:val="24"/>
          <w:vertAlign w:val="superscript"/>
          <w:rtl w:val="0"/>
        </w:rPr>
        <w:t xml:space="preserve">61</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SA-GNN generates low-dimensional, highly stable embeddings (latent variables) for each applicant.</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These embeddings encapsulate the profound non-linear interactions of the dataset—the exact multi-dimensional patterns that allow models like LightGBM to achieve an AUC of 0.82.</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Crucially, these latent variables are extracted and individually subjected to the WoE transformation pipeline.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Because the symmetry-aware representations are demonstrably invariant to distribution shifts and noise, their WoE binned equivalents provide the logistic regression with structurally perfect, non-linear predictive signals, bridging the gap between classical simplicity and deep learning sophistication.</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Environmental Resilience: Climate-Adjusted Credit Modeling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integration of physical and transition climate risks into retail credit portfolios is rapidly shifting from a theoretical academic exercise to an urgent regulatory imperative. Exogenous environmental shocks severely impact borrower repayment capacities, destroying physical assets and disrupting local employment.</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Utilizing granular geographic and meteorological data, localized climate stress scenarios are mapped directly to applicant profiles. For instance, in agricultural zones prone to prolonged droughts, such as the Western Cape of South Africa, or coastal areas susceptible to severe flooding, the expected loss models require specific, localized calibration.</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advanced expected credit loss formula integrates the climate-adjusted probability of default (</w:t>
      </w:r>
      <w:r w:rsidDel="00000000" w:rsidR="00000000" w:rsidRPr="00000000">
        <w:rPr>
          <w:rFonts w:ascii="Arial" w:cs="Arial" w:eastAsia="Arial" w:hAnsi="Arial"/>
          <w:color w:val="1f1f1f"/>
        </w:rPr>
        <w:drawing>
          <wp:inline distB="19050" distT="19050" distL="19050" distR="19050">
            <wp:extent cx="736163" cy="237719"/>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736163" cy="237719"/>
                    </a:xfrm>
                    <a:prstGeom prst="rect"/>
                    <a:ln/>
                  </pic:spPr>
                </pic:pic>
              </a:graphicData>
            </a:graphic>
          </wp:inline>
        </w:drawing>
      </w:r>
      <w:r w:rsidDel="00000000" w:rsidR="00000000" w:rsidRPr="00000000">
        <w:rPr>
          <w:rFonts w:ascii="Arial" w:cs="Arial" w:eastAsia="Arial" w:hAnsi="Arial"/>
          <w:color w:val="1f1f1f"/>
          <w:rtl w:val="0"/>
        </w:rPr>
        <w:t xml:space="preserve">), effectively merging physical risk probabilities with classical credit metrics </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35702"/>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05500" cy="73570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Applicants operating in high-vulnerability sectors—such as smallholder agriculture or uninsured coastal retail—are evaluated against these localized climate indices.</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This geographic and sectoral penalty is processed via the optimal binning algorithm, ensuring the final logistic regression preemptively accounts for impending physical and transitional climate risks that purely historical financial data cannot foresee.</w:t>
      </w:r>
      <w:r w:rsidDel="00000000" w:rsidR="00000000" w:rsidRPr="00000000">
        <w:rPr>
          <w:rFonts w:ascii="Arial" w:cs="Arial" w:eastAsia="Arial" w:hAnsi="Arial"/>
          <w:color w:val="444746"/>
          <w:sz w:val="24"/>
          <w:szCs w:val="24"/>
          <w:vertAlign w:val="superscript"/>
          <w:rtl w:val="0"/>
        </w:rPr>
        <w:t xml:space="preserve">67</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Parameter Estimation: Shift-Robustness and Bayesian Uncertainty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estimation of the </w:t>
      </w:r>
      <w:r w:rsidDel="00000000" w:rsidR="00000000" w:rsidRPr="00000000">
        <w:rPr>
          <w:rFonts w:ascii="Arial" w:cs="Arial" w:eastAsia="Arial" w:hAnsi="Arial"/>
          <w:color w:val="1f1f1f"/>
        </w:rPr>
        <w:drawing>
          <wp:inline distB="19050" distT="19050" distL="19050" distR="19050">
            <wp:extent cx="114062" cy="235728"/>
            <wp:effectExtent b="0" l="0" r="0" t="0"/>
            <wp:docPr id="2"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14062" cy="235728"/>
                    </a:xfrm>
                    <a:prstGeom prst="rect"/>
                    <a:ln/>
                  </pic:spPr>
                </pic:pic>
              </a:graphicData>
            </a:graphic>
          </wp:inline>
        </w:drawing>
      </w:r>
      <w:r w:rsidDel="00000000" w:rsidR="00000000" w:rsidRPr="00000000">
        <w:rPr>
          <w:rFonts w:ascii="Arial" w:cs="Arial" w:eastAsia="Arial" w:hAnsi="Arial"/>
          <w:color w:val="1f1f1f"/>
          <w:rtl w:val="0"/>
        </w:rPr>
        <w:t xml:space="preserve"> coefficients in the logistic regression represents the final mathematical challenge. Traditional Maximum Likelihood Estimation (MLE) produces rigid point estimates that fail to account for epistemic uncertainty, frequently leading to severe model miscalibration when macroeconomic distributions shift (covariate shift) between the training period and real-world deployment in production environments.</w:t>
      </w:r>
      <w:r w:rsidDel="00000000" w:rsidR="00000000" w:rsidRPr="00000000">
        <w:rPr>
          <w:rFonts w:ascii="Arial" w:cs="Arial" w:eastAsia="Arial" w:hAnsi="Arial"/>
          <w:color w:val="444746"/>
          <w:sz w:val="24"/>
          <w:szCs w:val="24"/>
          <w:vertAlign w:val="superscript"/>
          <w:rtl w:val="0"/>
        </w:rPr>
        <w:t xml:space="preserve">72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guarantee shift-robustness and decision trustworthiness, the framework abandons classical MLE in favor of Bayesian logistic regression. By imposing prior distributions on the coefficients, the model calculates a full posterior distribution of the weights via Markov Chain Monte Carlo (MCMC) simulation or advanced variational inference techniques.</w:t>
      </w:r>
      <w:r w:rsidDel="00000000" w:rsidR="00000000" w:rsidRPr="00000000">
        <w:rPr>
          <w:rFonts w:ascii="Arial" w:cs="Arial" w:eastAsia="Arial" w:hAnsi="Arial"/>
          <w:color w:val="444746"/>
          <w:sz w:val="24"/>
          <w:szCs w:val="24"/>
          <w:vertAlign w:val="superscript"/>
          <w:rtl w:val="0"/>
        </w:rPr>
        <w:t xml:space="preserve">72</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Bayesian treatment rigorously quantifies the exact mathematical uncertainty associated with each feature and each specific applicant.</w:t>
      </w:r>
      <w:r w:rsidDel="00000000" w:rsidR="00000000" w:rsidRPr="00000000">
        <w:rPr>
          <w:rFonts w:ascii="Arial" w:cs="Arial" w:eastAsia="Arial" w:hAnsi="Arial"/>
          <w:color w:val="444746"/>
          <w:sz w:val="24"/>
          <w:szCs w:val="24"/>
          <w:vertAlign w:val="superscript"/>
          <w:rtl w:val="0"/>
        </w:rPr>
        <w:t xml:space="preserve">75</w:t>
      </w:r>
      <w:r w:rsidDel="00000000" w:rsidR="00000000" w:rsidRPr="00000000">
        <w:rPr>
          <w:rFonts w:ascii="Arial" w:cs="Arial" w:eastAsia="Arial" w:hAnsi="Arial"/>
          <w:color w:val="1f1f1f"/>
          <w:rtl w:val="0"/>
        </w:rPr>
        <w:t xml:space="preserve"> If a particular segment of the applicant population exhibits highly volatile or sparse data, the posterior variance for the corresponding WoE bins expands.</w:t>
      </w:r>
      <w:r w:rsidDel="00000000" w:rsidR="00000000" w:rsidRPr="00000000">
        <w:rPr>
          <w:rFonts w:ascii="Arial" w:cs="Arial" w:eastAsia="Arial" w:hAnsi="Arial"/>
          <w:color w:val="444746"/>
          <w:sz w:val="24"/>
          <w:szCs w:val="24"/>
          <w:vertAlign w:val="superscript"/>
          <w:rtl w:val="0"/>
        </w:rPr>
        <w:t xml:space="preserve">76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resulting credit score is not merely a single deterministic probability, but a comprehensive probability distribution. The final applied logistic score utilizes the lower-bound of the credible interval for high-risk or high-uncertainty segments, effectively demanding a higher burden of proof for approval under highly uncertain conditions.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methodology dynamically protects the retail lending portfolio against unforeseen, out-of-distribution macroeconomic shocks without altering the underlying linear architecture, ensuring that the model gracefully withstands systemic stress.</w:t>
      </w:r>
      <w:r w:rsidDel="00000000" w:rsidR="00000000" w:rsidRPr="00000000">
        <w:rPr>
          <w:rFonts w:ascii="Arial" w:cs="Arial" w:eastAsia="Arial" w:hAnsi="Arial"/>
          <w:color w:val="444746"/>
          <w:sz w:val="24"/>
          <w:szCs w:val="24"/>
          <w:vertAlign w:val="superscript"/>
          <w:rtl w:val="0"/>
        </w:rPr>
        <w:t xml:space="preserve">77</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Realizing the Improvement: Step-Wise Baseline to Ceiling Trajectory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systematic integration of these cross-disciplinary features, bound by the rigorous mathematical constraints of WoE and Information Value, fundamentally alters the predictive capacity of the logistic regression model. By capturing the non-linear interactions natively within the binned feature space, the model escapes the 0.68 AUC baseline and approaches the 0.82 LightGBM benchmark.</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Engineering Stage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Methodological Adjustment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Cumulative AUC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Analytical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Logistic Regression (Raw Financials)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0.682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Linear constraints restrict the capture of complex interactions; highly sensitive to outliers.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Rigorous WoE &amp; IV Optimal Binning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Neutralizes outliers; enforces monotonic log-odds linearity; natively handles missing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Econophysics &amp; Avionics (Debt Gravity &amp; PID)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Captures behavioral velocity, utilization acceleration, and the non-linear trajectory toward insolvency.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Neuromorphic &amp; Quantum (BTSP &amp; Interference)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0.776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Models rapid habit adaptation and uncovers hidden risks through quantum probabilistic interference.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Epidemiology, Ecology &amp; Climate Adjustment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Ingests macro-economic vulnerabilities, systemic contagion, and geographic physical risks.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Stage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LLM &amp; Symmetry-Aware Deep Learning Embeddings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Maps highly complex, non-linear structural invariances and unstructured sentiment into strictly linear WoE inputs.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Bayesian Logistic Regression (Shift Robustness)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Optimizes calibration and protects against covariate shift via epistemic uncertainty penalization.</w:t>
            </w:r>
          </w:p>
        </w:tc>
      </w:tr>
    </w:tbl>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Interactive Analytical Ecosystem: Exploratory Data Analysis and Decision Support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such profound, mathematically complex, and cross-disciplinary transformations requires an interface capable of translating this sophistication into digestible, actionable intelligence for risk managers, business stakeholders, and regulatory auditors. A comprehensive, interactive application—built utilizing Streamlit or Shiny architectures—serves as the operational and strategic nexus of this framework.</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Research and Exploratory Data Analysis (EDA) Tool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module of the application is dedicated to rigorous statistical exploration, variable validation, and data quality assurance, adhering to the stringent demands of modern model risk governance.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Univariate Explorer allows analysts to interactively select any engineered feature—ranging from the PID_Utilization_Deficit to the Quantum_Interference_Term. The tool dynamically renders the probability density distributions of the raw values, overlays the optimal Chi-squared decision-tree bins, and plots the resulting Weight of Evidence (WoE) staircase functions. The Information Value (IV), accompanied by its Bayesian standard error bounds, is calculated and displayed in real-time, providing irrefutable statistical proof of the variable's predictive power, monotonic stability, and fairness constraints.</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Bivariate and Multivariate Explorer deploys interactive scatterplots, hexbin density plots, and correlation heatmaps to evaluate the collinearity between the advanced features.</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rtl w:val="0"/>
        </w:rPr>
        <w:t xml:space="preserve"> By visually demonstrating the orthogonal nature of the quantum interference metric against classical variables like debt-to-income, the module proves to regulators that the interdisciplinary features provide unique, non-redundant informational lift.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dedicated Data Quality and Shift Report tab evaluates the Population Stability Index (PSI) across various temporal cohorts. By analyzing the drift in the continuous feature distributions over time, the tool preemptively alerts modeling teams to covariate shift, flagging required recalibrations before the portfolio suffers predictive degradation.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Business Value and Decision Support Dashboard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apex of the application is the Business Value Dashboard. It abstracts the logistic regression's raw log-odds output and maps it directly onto commercial Key Performance Indicators (KPIs), facilitating high-level, policy-driven strategic thinking.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Risk managers are presented with interactive Volume vs. Risk Trade-off Curves. Utilizing dynamic sliders to adjust the logistic approval threshold, the dashboard instantly recalculates the expected approval volume against the projected default rate. This visualization plots the precise efficient frontier, enabling executives to pinpoint the exact empirical cut-off that maximizes portfolio yield while strictly containing non-performing loans within the institution's designated risk appetite limits.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dashboard further achieves a critical translation: converting traditional machine learning metrics into explicit financial terminology. Precision is reframed analytically as the "Cost of False Positives"—representing the direct financial loss incurred by approving a borrower who subsequently defaults. Recall is reframed as the "Opportunity Cost of False Negatives"—representing the lost lifetime customer value and interest revenue resulting from the erroneous decline of a creditworthy applicant. The dashboard calculates the net portfolio profitability under various threshold scenarios, allowing credit committees to dynamically balance aggressive market expansion strategies against defensive, capital-preservation postures.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Crucially, to satisfy Explainable AI (XAI) mandates and ensure absolute regulatory compliance, the dashboard generates a complete, transparent scorecard breakdown for every individual applicant. Because the final model is a Bayesian logistic regression utilizing discrete WoE inputs, the application displays an exact, additive mathematical ledger. It demonstrates precisely how the base score was augmented or penalized by specific behaviors, generating automated, plain-text adverse action codes. This guarantees absolute compliance with fair lending acts, allowing the institution to state exactly why an action was taken without hiding behind the opacity of a black-box algorithm.</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framework detailed in this report comprehensively resolves the perceived dichotomy between cutting-edge predictive superiority and stringent regulatory interpretability. By fundamentally redefining the baseline problem, the focus is decisively shifted away from optimizing algorithmic complexity at the classification level, and instead directed toward revolutionizing the underlying feature representation space.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Through the strategic assimilation of diverse scientific disciplines, retail credit data is viewed through a multifaceted, highly advanced analytical lens. Quantum cognition successfully decodes the superposition of human intent and sequential order effects </w:t>
      </w:r>
      <w:r w:rsidDel="00000000" w:rsidR="00000000" w:rsidRPr="00000000">
        <w:rPr>
          <w:rFonts w:ascii="Arial" w:cs="Arial" w:eastAsia="Arial" w:hAnsi="Arial"/>
          <w:color w:val="444746"/>
          <w:sz w:val="24"/>
          <w:szCs w:val="24"/>
          <w:vertAlign w:val="superscript"/>
          <w:rtl w:val="0"/>
        </w:rPr>
        <w:t xml:space="preserve">80</w:t>
      </w:r>
      <w:r w:rsidDel="00000000" w:rsidR="00000000" w:rsidRPr="00000000">
        <w:rPr>
          <w:rFonts w:ascii="Arial" w:cs="Arial" w:eastAsia="Arial" w:hAnsi="Arial"/>
          <w:color w:val="1f1f1f"/>
          <w:rtl w:val="0"/>
        </w:rPr>
        <w:t xml:space="preserve">; econophysics meticulously quantifies the inescapable gravity of compounding retail debt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neuroplasticity models the biological reinforcement and decay of financial habits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epidemiological networks map the geographic and systemic contagion of insolvency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avionics control theory evaluates the real-time velocity and acceleration of credit drawdown </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and symmetry-aware deep learning extracts complex structural invariances hidden deep within the tabular noise.</w:t>
      </w:r>
      <w:r w:rsidDel="00000000" w:rsidR="00000000" w:rsidRPr="00000000">
        <w:rPr>
          <w:rFonts w:ascii="Arial" w:cs="Arial" w:eastAsia="Arial" w:hAnsi="Arial"/>
          <w:color w:val="444746"/>
          <w:sz w:val="24"/>
          <w:szCs w:val="24"/>
          <w:vertAlign w:val="superscript"/>
          <w:rtl w:val="0"/>
        </w:rPr>
        <w:t xml:space="preserve">59</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these profoundly complex, non-linear interactions are rigorously bounded by optimal binning algorithms and Weight of Evidence transformations, they form a pristine, perfectly linear input space. The subsequent application of Bayesian logistic regression yields a predictive engine that shatters the 0.68 AUC baseline—driving aggressively toward the 0.82 theoretical ceiling—while remaining a fully transparent, additive scorecard.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accompanying interactive ecosystem guarantees that this immense mathematical sophistication remains highly accessible, easily monitorable, and immediately translatable into commercial strategy. This multidisciplinary approach establishes a new, rigorous paradigm for the future of financial risk assessment, definitively proving that the highest echelons of machine learning capability and cross-domain scientific theory can be successfully harnessed without sacrificing a single degree of interpretability, fairness, or regulatory compliance.</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Credit Scorecard Development: Part 3 — From Logistic Regression to Machine Learning Models | by Fabio Di Giovanni | Medium, accessed on May 5, 2026, </w:t>
      </w:r>
      <w:hyperlink r:id="rId27">
        <w:r w:rsidDel="00000000" w:rsidR="00000000" w:rsidRPr="00000000">
          <w:rPr>
            <w:rFonts w:ascii="Arial" w:cs="Arial" w:eastAsia="Arial" w:hAnsi="Arial"/>
            <w:color w:val="0000ee"/>
            <w:sz w:val="24"/>
            <w:szCs w:val="24"/>
            <w:u w:val="single"/>
            <w:rtl w:val="0"/>
          </w:rPr>
          <w:t xml:space="preserve">https://medium.com/@fabiodigiovanni97/mastering-credit-scorecard-development-part-3-from-logistic-regression-to-machine-learning-466ae312922b</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novel framework for enhancing transparency in credit scoring: Leveraging Shapley values for interpretable credit scorecards - PMC, accessed on May 5, 2026, </w:t>
      </w:r>
      <w:hyperlink r:id="rId28">
        <w:r w:rsidDel="00000000" w:rsidR="00000000" w:rsidRPr="00000000">
          <w:rPr>
            <w:rFonts w:ascii="Arial" w:cs="Arial" w:eastAsia="Arial" w:hAnsi="Arial"/>
            <w:color w:val="0000ee"/>
            <w:sz w:val="24"/>
            <w:szCs w:val="24"/>
            <w:u w:val="single"/>
            <w:rtl w:val="0"/>
          </w:rPr>
          <w:t xml:space="preserve">https://pmc.ncbi.nlm.nih.gov/articles/PMC11318906/</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Modelling consumer credit risk | Request PDF - ResearchGate, accessed on May 5, 2026, </w:t>
      </w:r>
      <w:hyperlink r:id="rId29">
        <w:r w:rsidDel="00000000" w:rsidR="00000000" w:rsidRPr="00000000">
          <w:rPr>
            <w:rFonts w:ascii="Arial" w:cs="Arial" w:eastAsia="Arial" w:hAnsi="Arial"/>
            <w:color w:val="0000ee"/>
            <w:sz w:val="24"/>
            <w:szCs w:val="24"/>
            <w:u w:val="single"/>
            <w:rtl w:val="0"/>
          </w:rPr>
          <w:t xml:space="preserve">https://www.researchgate.net/publication/31083986_Modelling_consumer_credit_risk</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Modular Architectures for Interpretable Credit Scoring for Heterogeneous Borrower Data, accessed on May 5, 2026, </w:t>
      </w:r>
      <w:hyperlink r:id="rId30">
        <w:r w:rsidDel="00000000" w:rsidR="00000000" w:rsidRPr="00000000">
          <w:rPr>
            <w:rFonts w:ascii="Arial" w:cs="Arial" w:eastAsia="Arial" w:hAnsi="Arial"/>
            <w:color w:val="0000ee"/>
            <w:sz w:val="24"/>
            <w:szCs w:val="24"/>
            <w:u w:val="single"/>
            <w:rtl w:val="0"/>
          </w:rPr>
          <w:t xml:space="preserve">https://www.mdpi.com/1911-8074/18/11/615</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Information-Theoretic Framework for Credit Risk Modeling: Unifying Industry Practice with Statistical Theory for Fair and Interpretable Scorecards - arXiv, accessed on May 5, 2026, </w:t>
      </w:r>
      <w:hyperlink r:id="rId31">
        <w:r w:rsidDel="00000000" w:rsidR="00000000" w:rsidRPr="00000000">
          <w:rPr>
            <w:rFonts w:ascii="Arial" w:cs="Arial" w:eastAsia="Arial" w:hAnsi="Arial"/>
            <w:color w:val="0000ee"/>
            <w:sz w:val="24"/>
            <w:szCs w:val="24"/>
            <w:u w:val="single"/>
            <w:rtl w:val="0"/>
          </w:rPr>
          <w:t xml:space="preserve">https://arxiv.org/html/2509.09855v1</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Mastering Credit Scorecard Development: Part 2 — From Data to Risk-Driven Insights, accessed on May 5, 2026, </w:t>
      </w:r>
      <w:hyperlink r:id="rId32">
        <w:r w:rsidDel="00000000" w:rsidR="00000000" w:rsidRPr="00000000">
          <w:rPr>
            <w:rFonts w:ascii="Arial" w:cs="Arial" w:eastAsia="Arial" w:hAnsi="Arial"/>
            <w:color w:val="0000ee"/>
            <w:sz w:val="24"/>
            <w:szCs w:val="24"/>
            <w:u w:val="single"/>
            <w:rtl w:val="0"/>
          </w:rPr>
          <w:t xml:space="preserve">https://medium.com/@fabiodigiovanni97/mastering-credit-scorecard-development-part-2-from-data-to-risk-driven-insights-f21cf5ae667a</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Logistic Regression in Credit Risk: The Role of Weight of Evidence and Information Value | by Luís Fernando Torres | Medium, accessed on May 5, 2026, </w:t>
      </w:r>
      <w:hyperlink r:id="rId33">
        <w:r w:rsidDel="00000000" w:rsidR="00000000" w:rsidRPr="00000000">
          <w:rPr>
            <w:rFonts w:ascii="Arial" w:cs="Arial" w:eastAsia="Arial" w:hAnsi="Arial"/>
            <w:color w:val="0000ee"/>
            <w:sz w:val="24"/>
            <w:szCs w:val="24"/>
            <w:u w:val="single"/>
            <w:rtl w:val="0"/>
          </w:rPr>
          <w:t xml:space="preserve">https://medium.com/@luuisotorres/logistic-regression-in-credit-risk-the-role-of-weight-of-evidence-and-information-value-9e26dd690b16</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Chaos Theory and Butterfly Effects in Times of Corruption and a Bank Crash in 1886: The Case of Arendal (Norway) Illustrated through a Regional-Globalized Model - ResearchGate, accessed on May 5, 2026, </w:t>
      </w:r>
      <w:hyperlink r:id="rId34">
        <w:r w:rsidDel="00000000" w:rsidR="00000000" w:rsidRPr="00000000">
          <w:rPr>
            <w:rFonts w:ascii="Arial" w:cs="Arial" w:eastAsia="Arial" w:hAnsi="Arial"/>
            <w:color w:val="0000ee"/>
            <w:sz w:val="24"/>
            <w:szCs w:val="24"/>
            <w:u w:val="single"/>
            <w:rtl w:val="0"/>
          </w:rPr>
          <w:t xml:space="preserve">https://www.researchgate.net/publication/324092997_Chaos_Theory_and_Butterfly_Effects_in_Times_of_Corruption_and_a_Bank_Crash_in_1886_The_Case_of_Arendal_Norway_Illustrated_through_a_Regional-Globalized_Model</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Chaos Theory and Financial Markets: A Systematic Review of Crisis and Bubbles - DergiPark, accessed on May 5, 2026, </w:t>
      </w:r>
      <w:hyperlink r:id="rId35">
        <w:r w:rsidDel="00000000" w:rsidR="00000000" w:rsidRPr="00000000">
          <w:rPr>
            <w:rFonts w:ascii="Arial" w:cs="Arial" w:eastAsia="Arial" w:hAnsi="Arial"/>
            <w:color w:val="0000ee"/>
            <w:sz w:val="24"/>
            <w:szCs w:val="24"/>
            <w:u w:val="single"/>
            <w:rtl w:val="0"/>
          </w:rPr>
          <w:t xml:space="preserve">https://dergipark.org.tr/en/download/article-file/4586214</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butterfly effect: understanding star manager risk - portfolio institutional, accessed on May 5, 2026, </w:t>
      </w:r>
      <w:hyperlink r:id="rId36">
        <w:r w:rsidDel="00000000" w:rsidR="00000000" w:rsidRPr="00000000">
          <w:rPr>
            <w:rFonts w:ascii="Arial" w:cs="Arial" w:eastAsia="Arial" w:hAnsi="Arial"/>
            <w:color w:val="0000ee"/>
            <w:sz w:val="24"/>
            <w:szCs w:val="24"/>
            <w:u w:val="single"/>
            <w:rtl w:val="0"/>
          </w:rPr>
          <w:t xml:space="preserve">https://www.portfolio-institutional.co.uk/features/the-butterfly-effect-understanding-star-manager-risk/</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Chaos to control: Scientists use a 'butterfly attractor' to control and change the weather, accessed on May 5, 2026, </w:t>
      </w:r>
      <w:hyperlink r:id="rId37">
        <w:r w:rsidDel="00000000" w:rsidR="00000000" w:rsidRPr="00000000">
          <w:rPr>
            <w:rFonts w:ascii="Arial" w:cs="Arial" w:eastAsia="Arial" w:hAnsi="Arial"/>
            <w:color w:val="0000ee"/>
            <w:sz w:val="24"/>
            <w:szCs w:val="24"/>
            <w:u w:val="single"/>
            <w:rtl w:val="0"/>
          </w:rPr>
          <w:t xml:space="preserve">https://www.egu.eu/news/904/chaos-to-control-scientists-use-a-butterfly-attractor-to-control-and-change-the-weather/</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Entropy of Reissner–Nordström 3D Black Hole in Roegenian Economics - MDPI, accessed on May 5, 2026, </w:t>
      </w:r>
      <w:hyperlink r:id="rId38">
        <w:r w:rsidDel="00000000" w:rsidR="00000000" w:rsidRPr="00000000">
          <w:rPr>
            <w:rFonts w:ascii="Arial" w:cs="Arial" w:eastAsia="Arial" w:hAnsi="Arial"/>
            <w:color w:val="0000ee"/>
            <w:sz w:val="24"/>
            <w:szCs w:val="24"/>
            <w:u w:val="single"/>
            <w:rtl w:val="0"/>
          </w:rPr>
          <w:t xml:space="preserve">https://www.mdpi.com/1099-4300/21/5/509</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4396 PDFs | Review articles in COMPUTATIONAL ECONOMICS - ResearchGate, accessed on May 5, 2026, </w:t>
      </w:r>
      <w:hyperlink r:id="rId39">
        <w:r w:rsidDel="00000000" w:rsidR="00000000" w:rsidRPr="00000000">
          <w:rPr>
            <w:rFonts w:ascii="Arial" w:cs="Arial" w:eastAsia="Arial" w:hAnsi="Arial"/>
            <w:color w:val="0000ee"/>
            <w:sz w:val="24"/>
            <w:szCs w:val="24"/>
            <w:u w:val="single"/>
            <w:rtl w:val="0"/>
          </w:rPr>
          <w:t xml:space="preserve">https://www.researchgate.net/topic/Computational-Economics/publications</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 hate how money makes me desperate : r/financialindependence - Reddit, accessed on May 5, 2026, </w:t>
      </w:r>
      <w:hyperlink r:id="rId40">
        <w:r w:rsidDel="00000000" w:rsidR="00000000" w:rsidRPr="00000000">
          <w:rPr>
            <w:rFonts w:ascii="Arial" w:cs="Arial" w:eastAsia="Arial" w:hAnsi="Arial"/>
            <w:color w:val="0000ee"/>
            <w:sz w:val="24"/>
            <w:szCs w:val="24"/>
            <w:u w:val="single"/>
            <w:rtl w:val="0"/>
          </w:rPr>
          <w:t xml:space="preserve">https://www.reddit.com/r/financialindependence/comments/nplkkb/i_hate_how_money_makes_me_desperate/</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Proceedings, accessed on May 5, 2026, </w:t>
      </w:r>
      <w:hyperlink r:id="rId41">
        <w:r w:rsidDel="00000000" w:rsidR="00000000" w:rsidRPr="00000000">
          <w:rPr>
            <w:rFonts w:ascii="Arial" w:cs="Arial" w:eastAsia="Arial" w:hAnsi="Arial"/>
            <w:color w:val="0000ee"/>
            <w:sz w:val="24"/>
            <w:szCs w:val="24"/>
            <w:u w:val="single"/>
            <w:rtl w:val="0"/>
          </w:rPr>
          <w:t xml:space="preserve">http://www.cmsim.org/images/CHAOS_Proceedings-2020_A-Gr-1-278.pdf</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Limited Memory Algorithm for Bound Constrained Optimization - SIAM Publications Library, accessed on May 5, 2026, </w:t>
      </w:r>
      <w:hyperlink r:id="rId42">
        <w:r w:rsidDel="00000000" w:rsidR="00000000" w:rsidRPr="00000000">
          <w:rPr>
            <w:rFonts w:ascii="Arial" w:cs="Arial" w:eastAsia="Arial" w:hAnsi="Arial"/>
            <w:color w:val="0000ee"/>
            <w:sz w:val="24"/>
            <w:szCs w:val="24"/>
            <w:u w:val="single"/>
            <w:rtl w:val="0"/>
          </w:rPr>
          <w:t xml:space="preserve">https://epubs.siam.org/doi/10.1137/0916069</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Two class Bayes point machines in repayment prediction of low credit borrowers - PMC, accessed on May 5, 2026, </w:t>
      </w:r>
      <w:hyperlink r:id="rId43">
        <w:r w:rsidDel="00000000" w:rsidR="00000000" w:rsidRPr="00000000">
          <w:rPr>
            <w:rFonts w:ascii="Arial" w:cs="Arial" w:eastAsia="Arial" w:hAnsi="Arial"/>
            <w:color w:val="0000ee"/>
            <w:sz w:val="24"/>
            <w:szCs w:val="24"/>
            <w:u w:val="single"/>
            <w:rtl w:val="0"/>
          </w:rPr>
          <w:t xml:space="preserve">https://pmc.ncbi.nlm.nih.gov/articles/PMC9668522/</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Credit Assignment via Behavioral Timescale Synaptic Plasticity: Theoretical Frameworks, accessed on May 5, 2026, </w:t>
      </w:r>
      <w:hyperlink r:id="rId44">
        <w:r w:rsidDel="00000000" w:rsidR="00000000" w:rsidRPr="00000000">
          <w:rPr>
            <w:rFonts w:ascii="Arial" w:cs="Arial" w:eastAsia="Arial" w:hAnsi="Arial"/>
            <w:color w:val="0000ee"/>
            <w:sz w:val="24"/>
            <w:szCs w:val="24"/>
            <w:u w:val="single"/>
            <w:rtl w:val="0"/>
          </w:rPr>
          <w:t xml:space="preserve">https://www.biorxiv.org/content/10.1101/2025.06.12.659336v1.full</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New Type of Neuroplasticity Rewires the Brain After a Single Experience, accessed on May 5, 2026, </w:t>
      </w:r>
      <w:hyperlink r:id="rId45">
        <w:r w:rsidDel="00000000" w:rsidR="00000000" w:rsidRPr="00000000">
          <w:rPr>
            <w:rFonts w:ascii="Arial" w:cs="Arial" w:eastAsia="Arial" w:hAnsi="Arial"/>
            <w:color w:val="0000ee"/>
            <w:sz w:val="24"/>
            <w:szCs w:val="24"/>
            <w:u w:val="single"/>
            <w:rtl w:val="0"/>
          </w:rPr>
          <w:t xml:space="preserve">https://www.quantamagazine.org/a-new-type-of-neuroplasticity-rewires-the-brain-after-a-single-experience-20260424/</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Hebbian Learning - AI Weekly Report, accessed on May 5, 2026, </w:t>
      </w:r>
      <w:hyperlink r:id="rId46">
        <w:r w:rsidDel="00000000" w:rsidR="00000000" w:rsidRPr="00000000">
          <w:rPr>
            <w:rFonts w:ascii="Arial" w:cs="Arial" w:eastAsia="Arial" w:hAnsi="Arial"/>
            <w:color w:val="0000ee"/>
            <w:sz w:val="24"/>
            <w:szCs w:val="24"/>
            <w:u w:val="single"/>
            <w:rtl w:val="0"/>
          </w:rPr>
          <w:t xml:space="preserve">https://weeklyreport.ai/briefings/hebbian-learning/</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Hebbian attractor to model working memory in complex human behavior - Kreiman Lab, accessed on May 5, 2026, </w:t>
      </w:r>
      <w:hyperlink r:id="rId47">
        <w:r w:rsidDel="00000000" w:rsidR="00000000" w:rsidRPr="00000000">
          <w:rPr>
            <w:rFonts w:ascii="Arial" w:cs="Arial" w:eastAsia="Arial" w:hAnsi="Arial"/>
            <w:color w:val="0000ee"/>
            <w:sz w:val="24"/>
            <w:szCs w:val="24"/>
            <w:u w:val="single"/>
            <w:rtl w:val="0"/>
          </w:rPr>
          <w:t xml:space="preserve">https://klab.tch.harvard.edu/publications/PDFs/gk8154.pdf</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Brain Believes Repetition More Than Intention - Brainz Magazine, accessed on May 5, 2026, </w:t>
      </w:r>
      <w:hyperlink r:id="rId48">
        <w:r w:rsidDel="00000000" w:rsidR="00000000" w:rsidRPr="00000000">
          <w:rPr>
            <w:rFonts w:ascii="Arial" w:cs="Arial" w:eastAsia="Arial" w:hAnsi="Arial"/>
            <w:color w:val="0000ee"/>
            <w:sz w:val="24"/>
            <w:szCs w:val="24"/>
            <w:u w:val="single"/>
            <w:rtl w:val="0"/>
          </w:rPr>
          <w:t xml:space="preserve">https://www.brainzmagazine.com/post/the-brain-believes-repetition-more-than-intention</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Covariance-Based Synaptic Plasticity in an Attractor Network Model Accounts for Fast Adaptation in Free Operant Learning | Journal of Neuroscience, accessed on May 5, 2026, </w:t>
      </w:r>
      <w:hyperlink r:id="rId49">
        <w:r w:rsidDel="00000000" w:rsidR="00000000" w:rsidRPr="00000000">
          <w:rPr>
            <w:rFonts w:ascii="Arial" w:cs="Arial" w:eastAsia="Arial" w:hAnsi="Arial"/>
            <w:color w:val="0000ee"/>
            <w:sz w:val="24"/>
            <w:szCs w:val="24"/>
            <w:u w:val="single"/>
            <w:rtl w:val="0"/>
          </w:rPr>
          <w:t xml:space="preserve">https://www.jneurosci.org/content/33/4/1521</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Meta plasticity and Continual Learning: Mechanisms subserving Brain Computer Interface Proficiency | bioRxiv, accessed on May 5, 2026, </w:t>
      </w:r>
      <w:hyperlink r:id="rId50">
        <w:r w:rsidDel="00000000" w:rsidR="00000000" w:rsidRPr="00000000">
          <w:rPr>
            <w:rFonts w:ascii="Arial" w:cs="Arial" w:eastAsia="Arial" w:hAnsi="Arial"/>
            <w:color w:val="0000ee"/>
            <w:sz w:val="24"/>
            <w:szCs w:val="24"/>
            <w:u w:val="single"/>
            <w:rtl w:val="0"/>
          </w:rPr>
          <w:t xml:space="preserve">https://www.biorxiv.org/content/10.1101/2025.03.22.644643v1.full-text</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Interference effects of categorization on decision making - Jerome R. Busemeyer, accessed on May 5, 2026, </w:t>
      </w:r>
      <w:hyperlink r:id="rId51">
        <w:r w:rsidDel="00000000" w:rsidR="00000000" w:rsidRPr="00000000">
          <w:rPr>
            <w:rFonts w:ascii="Arial" w:cs="Arial" w:eastAsia="Arial" w:hAnsi="Arial"/>
            <w:color w:val="0000ee"/>
            <w:sz w:val="24"/>
            <w:szCs w:val="24"/>
            <w:u w:val="single"/>
            <w:rtl w:val="0"/>
          </w:rPr>
          <w:t xml:space="preserve">https://jbusemey.pages.iu.edu/quantum/CatDec2016.pdf</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Learn about Research in the Lab: Quantum Cognition ..., accessed on May 5, 2026, </w:t>
      </w:r>
      <w:hyperlink r:id="rId52">
        <w:r w:rsidDel="00000000" w:rsidR="00000000" w:rsidRPr="00000000">
          <w:rPr>
            <w:rFonts w:ascii="Arial" w:cs="Arial" w:eastAsia="Arial" w:hAnsi="Arial"/>
            <w:color w:val="0000ee"/>
            <w:sz w:val="24"/>
            <w:szCs w:val="24"/>
            <w:u w:val="single"/>
            <w:rtl w:val="0"/>
          </w:rPr>
          <w:t xml:space="preserve">https://computationaldecisionlab.com/2025/05/28/learn-about-research-in-the-lab-quantum-cognition-characterizing-human-behavior-as-quantum-like/</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Economics - Applications in Trading - DayTrading.com, accessed on May 5, 2026, </w:t>
      </w:r>
      <w:hyperlink r:id="rId53">
        <w:r w:rsidDel="00000000" w:rsidR="00000000" w:rsidRPr="00000000">
          <w:rPr>
            <w:rFonts w:ascii="Arial" w:cs="Arial" w:eastAsia="Arial" w:hAnsi="Arial"/>
            <w:color w:val="0000ee"/>
            <w:sz w:val="24"/>
            <w:szCs w:val="24"/>
            <w:u w:val="single"/>
            <w:rtl w:val="0"/>
          </w:rPr>
          <w:t xml:space="preserve">https://www.daytrading.com/quantum-economics</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Quantum-Cognitive Neural Networks: Assessing Confidence and Uncertainty with Human Decision-Making Simulations - MDPI, accessed on May 5, 2026, </w:t>
      </w:r>
      <w:hyperlink r:id="rId54">
        <w:r w:rsidDel="00000000" w:rsidR="00000000" w:rsidRPr="00000000">
          <w:rPr>
            <w:rFonts w:ascii="Arial" w:cs="Arial" w:eastAsia="Arial" w:hAnsi="Arial"/>
            <w:color w:val="0000ee"/>
            <w:sz w:val="24"/>
            <w:szCs w:val="24"/>
            <w:u w:val="single"/>
            <w:rtl w:val="0"/>
          </w:rPr>
          <w:t xml:space="preserve">https://www.mdpi.com/2504-2289/9/1/12</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Quantum Actuary：Reshaping Insurance Cognition - SOA, accessed on May 5, 2026, </w:t>
      </w:r>
      <w:hyperlink r:id="rId55">
        <w:r w:rsidDel="00000000" w:rsidR="00000000" w:rsidRPr="00000000">
          <w:rPr>
            <w:rFonts w:ascii="Arial" w:cs="Arial" w:eastAsia="Arial" w:hAnsi="Arial"/>
            <w:color w:val="0000ee"/>
            <w:sz w:val="24"/>
            <w:szCs w:val="24"/>
            <w:u w:val="single"/>
            <w:rtl w:val="0"/>
          </w:rPr>
          <w:t xml:space="preserve">https://www.soa.org/digital-publishing-platform/emerging-topics/et-2023-10-chen/</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 Computing in Consumer Behavior: A Theoretical Framework for Market Prediction and Decision Analytics - ijarsct, accessed on May 5, 2026, </w:t>
      </w:r>
      <w:hyperlink r:id="rId56">
        <w:r w:rsidDel="00000000" w:rsidR="00000000" w:rsidRPr="00000000">
          <w:rPr>
            <w:rFonts w:ascii="Arial" w:cs="Arial" w:eastAsia="Arial" w:hAnsi="Arial"/>
            <w:color w:val="0000ee"/>
            <w:sz w:val="24"/>
            <w:szCs w:val="24"/>
            <w:u w:val="single"/>
            <w:rtl w:val="0"/>
          </w:rPr>
          <w:t xml:space="preserve">https://ijarsct.co.in/Paper23352.pdf</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Quantum-like Cognition and Decision-Making: Interpretation of Phases in Quantum-like Superposition - PMC, accessed on May 5, 2026, </w:t>
      </w:r>
      <w:hyperlink r:id="rId57">
        <w:r w:rsidDel="00000000" w:rsidR="00000000" w:rsidRPr="00000000">
          <w:rPr>
            <w:rFonts w:ascii="Arial" w:cs="Arial" w:eastAsia="Arial" w:hAnsi="Arial"/>
            <w:color w:val="0000ee"/>
            <w:sz w:val="24"/>
            <w:szCs w:val="24"/>
            <w:u w:val="single"/>
            <w:rtl w:val="0"/>
          </w:rPr>
          <w:t xml:space="preserve">https://pmc.ncbi.nlm.nih.gov/articles/PMC12939754/</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Novel Multi-Criteria Quantum Group Decision-Making Model Considering Decision Makers' Risk Perception Based on Type-2 Fuzzy Numbers - MDPI, accessed on May 5, 2026, </w:t>
      </w:r>
      <w:hyperlink r:id="rId58">
        <w:r w:rsidDel="00000000" w:rsidR="00000000" w:rsidRPr="00000000">
          <w:rPr>
            <w:rFonts w:ascii="Arial" w:cs="Arial" w:eastAsia="Arial" w:hAnsi="Arial"/>
            <w:color w:val="0000ee"/>
            <w:sz w:val="24"/>
            <w:szCs w:val="24"/>
            <w:u w:val="single"/>
            <w:rtl w:val="0"/>
          </w:rPr>
          <w:t xml:space="preserve">https://www.mdpi.com/2073-8994/17/7/1006</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quantum-cognitive approach to dynamic meaning construction - Frontiers, accessed on May 5, 2026, </w:t>
      </w:r>
      <w:hyperlink r:id="rId59">
        <w:r w:rsidDel="00000000" w:rsidR="00000000" w:rsidRPr="00000000">
          <w:rPr>
            <w:rFonts w:ascii="Arial" w:cs="Arial" w:eastAsia="Arial" w:hAnsi="Arial"/>
            <w:color w:val="0000ee"/>
            <w:sz w:val="24"/>
            <w:szCs w:val="24"/>
            <w:u w:val="single"/>
            <w:rtl w:val="0"/>
          </w:rPr>
          <w:t xml:space="preserve">https://www.frontiersin.org/journals/psychology/articles/10.3389/fpsyg.2026.1664747/full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Interaction as Interference: A Quantum-Inspired Aggregation Approach1footnote 11footnote 1Preprint submitted to Pattern Recognition, November 2025. - arXiv.org, accessed on May 5, 2026, </w:t>
      </w:r>
      <w:hyperlink r:id="rId60">
        <w:r w:rsidDel="00000000" w:rsidR="00000000" w:rsidRPr="00000000">
          <w:rPr>
            <w:rFonts w:ascii="Arial" w:cs="Arial" w:eastAsia="Arial" w:hAnsi="Arial"/>
            <w:color w:val="0000ee"/>
            <w:sz w:val="24"/>
            <w:szCs w:val="24"/>
            <w:u w:val="single"/>
            <w:rtl w:val="0"/>
          </w:rPr>
          <w:t xml:space="preserve">https://arxiv.org/html/2511.10018v1</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More Causes Less Effect: Destructive Interference in Decision Making - PMC, accessed on May 5, 2026, </w:t>
      </w:r>
      <w:hyperlink r:id="rId61">
        <w:r w:rsidDel="00000000" w:rsidR="00000000" w:rsidRPr="00000000">
          <w:rPr>
            <w:rFonts w:ascii="Arial" w:cs="Arial" w:eastAsia="Arial" w:hAnsi="Arial"/>
            <w:color w:val="0000ee"/>
            <w:sz w:val="24"/>
            <w:szCs w:val="24"/>
            <w:u w:val="single"/>
            <w:rtl w:val="0"/>
          </w:rPr>
          <w:t xml:space="preserve">https://pmc.ncbi.nlm.nih.gov/articles/PMC9141002/</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Risk Contagion Among Financial Players Modelled by a SIR Model with Time Delay, accessed on May 5, 2026, </w:t>
      </w:r>
      <w:hyperlink r:id="rId62">
        <w:r w:rsidDel="00000000" w:rsidR="00000000" w:rsidRPr="00000000">
          <w:rPr>
            <w:rFonts w:ascii="Arial" w:cs="Arial" w:eastAsia="Arial" w:hAnsi="Arial"/>
            <w:color w:val="0000ee"/>
            <w:sz w:val="24"/>
            <w:szCs w:val="24"/>
            <w:u w:val="single"/>
            <w:rtl w:val="0"/>
          </w:rPr>
          <w:t xml:space="preserve">https://www.researchgate.net/publication/366685724_Risk_Contagion_Among_Financial_Players_Modelled_by_a_SIR_Model_with_Time_Delay</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Review of Financial Risk Contagion Modeling Based on Complex Systems Approach - Atlantis Press, accessed on May 5, 2026, </w:t>
      </w:r>
      <w:hyperlink r:id="rId63">
        <w:r w:rsidDel="00000000" w:rsidR="00000000" w:rsidRPr="00000000">
          <w:rPr>
            <w:rFonts w:ascii="Arial" w:cs="Arial" w:eastAsia="Arial" w:hAnsi="Arial"/>
            <w:color w:val="0000ee"/>
            <w:sz w:val="24"/>
            <w:szCs w:val="24"/>
            <w:u w:val="single"/>
            <w:rtl w:val="0"/>
          </w:rPr>
          <w:t xml:space="preserve">https://www.atlantis-press.com/article/126016334.pdf</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Contagion in the interbank network: An epidemiological ... - EconStor, accessed on May 5, 2026, </w:t>
      </w:r>
      <w:hyperlink r:id="rId64">
        <w:r w:rsidDel="00000000" w:rsidR="00000000" w:rsidRPr="00000000">
          <w:rPr>
            <w:rFonts w:ascii="Arial" w:cs="Arial" w:eastAsia="Arial" w:hAnsi="Arial"/>
            <w:color w:val="0000ee"/>
            <w:sz w:val="24"/>
            <w:szCs w:val="24"/>
            <w:u w:val="single"/>
            <w:rtl w:val="0"/>
          </w:rPr>
          <w:t xml:space="preserve">https://www.econstor.eu/bitstream/10419/212259/1/bof-rdp2013-019.pdf</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Modeling and Mathematical Analysis of Liquidity Risk Contagion in the Banking System Using an Optimal Control Approach - MDPI, accessed on May 5, 2026, </w:t>
      </w:r>
      <w:hyperlink r:id="rId65">
        <w:r w:rsidDel="00000000" w:rsidR="00000000" w:rsidRPr="00000000">
          <w:rPr>
            <w:rFonts w:ascii="Arial" w:cs="Arial" w:eastAsia="Arial" w:hAnsi="Arial"/>
            <w:color w:val="0000ee"/>
            <w:sz w:val="24"/>
            <w:szCs w:val="24"/>
            <w:u w:val="single"/>
            <w:rtl w:val="0"/>
          </w:rPr>
          <w:t xml:space="preserve">https://www.mdpi.com/2673-9909/5/1/20</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spread of a financial virus through Europe and beyond - AIMS Press, accessed on May 5, 2026, </w:t>
      </w:r>
      <w:hyperlink r:id="rId66">
        <w:r w:rsidDel="00000000" w:rsidR="00000000" w:rsidRPr="00000000">
          <w:rPr>
            <w:rFonts w:ascii="Arial" w:cs="Arial" w:eastAsia="Arial" w:hAnsi="Arial"/>
            <w:color w:val="0000ee"/>
            <w:sz w:val="24"/>
            <w:szCs w:val="24"/>
            <w:u w:val="single"/>
            <w:rtl w:val="0"/>
          </w:rPr>
          <w:t xml:space="preserve">https://www.aimspress.com/article/doi/10.3934/Math.2019.1.86?viewType=HTML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COVID-19 and Emerging Markets: A SIR Model, Demand Shocks and Capital Flows - NBER, accessed on May 5, 2026, </w:t>
      </w:r>
      <w:hyperlink r:id="rId67">
        <w:r w:rsidDel="00000000" w:rsidR="00000000" w:rsidRPr="00000000">
          <w:rPr>
            <w:rFonts w:ascii="Arial" w:cs="Arial" w:eastAsia="Arial" w:hAnsi="Arial"/>
            <w:color w:val="0000ee"/>
            <w:sz w:val="24"/>
            <w:szCs w:val="24"/>
            <w:u w:val="single"/>
            <w:rtl w:val="0"/>
          </w:rPr>
          <w:t xml:space="preserve">https://www.nber.org/system/files/working_papers/w27191/revisions/w27191.rev3.pdf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Epidemiological spreading of mortgage default | International Journal of Housing Markets and Analysis | Emerald Publishing, accessed on May 5, 2026, </w:t>
      </w:r>
      <w:hyperlink r:id="rId68">
        <w:r w:rsidDel="00000000" w:rsidR="00000000" w:rsidRPr="00000000">
          <w:rPr>
            <w:rFonts w:ascii="Arial" w:cs="Arial" w:eastAsia="Arial" w:hAnsi="Arial"/>
            <w:color w:val="0000ee"/>
            <w:sz w:val="24"/>
            <w:szCs w:val="24"/>
            <w:u w:val="single"/>
            <w:rtl w:val="0"/>
          </w:rPr>
          <w:t xml:space="preserve">https://www.emerald.com/ijhma/article/12/1/74/121088/Epidemiological-spreading-of-mortgage-default</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Working Paper Series - Bank contagion in general equilibrium, accessed on May 5, 2026, </w:t>
      </w:r>
      <w:hyperlink r:id="rId69">
        <w:r w:rsidDel="00000000" w:rsidR="00000000" w:rsidRPr="00000000">
          <w:rPr>
            <w:rFonts w:ascii="Arial" w:cs="Arial" w:eastAsia="Arial" w:hAnsi="Arial"/>
            <w:color w:val="0000ee"/>
            <w:sz w:val="24"/>
            <w:szCs w:val="24"/>
            <w:u w:val="single"/>
            <w:rtl w:val="0"/>
          </w:rPr>
          <w:t xml:space="preserve">https://www.ecb.europa.eu/pub/pdf/scpwps/ecb.wp2432~b0044d8485.en.pdf</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On the dynamics of a SIR model for a financial risk contagion - IRIS, accessed on May 5, 2026, </w:t>
      </w:r>
      <w:hyperlink r:id="rId70">
        <w:r w:rsidDel="00000000" w:rsidR="00000000" w:rsidRPr="00000000">
          <w:rPr>
            <w:rFonts w:ascii="Arial" w:cs="Arial" w:eastAsia="Arial" w:hAnsi="Arial"/>
            <w:color w:val="0000ee"/>
            <w:sz w:val="24"/>
            <w:szCs w:val="24"/>
            <w:u w:val="single"/>
            <w:rtl w:val="0"/>
          </w:rPr>
          <w:t xml:space="preserve">https://univda.iris.cineca.it/retrieve/06ab69bf-228d-4bdd-9c39-e757ec15034f/Ferrara%20et%20al%20Q%26Q.%202024.pdf</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Measuring, modeling, and managing systemic risk: the missing aspect of human agency - Taylor &amp; Francis, accessed on May 5, 2026, </w:t>
      </w:r>
      <w:hyperlink r:id="rId71">
        <w:r w:rsidDel="00000000" w:rsidR="00000000" w:rsidRPr="00000000">
          <w:rPr>
            <w:rFonts w:ascii="Arial" w:cs="Arial" w:eastAsia="Arial" w:hAnsi="Arial"/>
            <w:color w:val="0000ee"/>
            <w:sz w:val="24"/>
            <w:szCs w:val="24"/>
            <w:u w:val="single"/>
            <w:rtl w:val="0"/>
          </w:rPr>
          <w:t xml:space="preserve">https://www.tandfonline.com/doi/full/10.1080/13669877.2019.1646312</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Size and complexity in model financial systems - PNAS, accessed on May 5, 2026, </w:t>
      </w:r>
      <w:hyperlink r:id="rId72">
        <w:r w:rsidDel="00000000" w:rsidR="00000000" w:rsidRPr="00000000">
          <w:rPr>
            <w:rFonts w:ascii="Arial" w:cs="Arial" w:eastAsia="Arial" w:hAnsi="Arial"/>
            <w:color w:val="0000ee"/>
            <w:sz w:val="24"/>
            <w:szCs w:val="24"/>
            <w:u w:val="single"/>
            <w:rtl w:val="0"/>
          </w:rPr>
          <w:t xml:space="preserve">https://www.pnas.org/doi/10.1073/pnas.1213767109</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DebtStreamness: An Ecological Approach to Credit Flows in Inter-Firm Networks - arXiv, accessed on May 5, 2026, </w:t>
      </w:r>
      <w:hyperlink r:id="rId73">
        <w:r w:rsidDel="00000000" w:rsidR="00000000" w:rsidRPr="00000000">
          <w:rPr>
            <w:rFonts w:ascii="Arial" w:cs="Arial" w:eastAsia="Arial" w:hAnsi="Arial"/>
            <w:color w:val="0000ee"/>
            <w:sz w:val="24"/>
            <w:szCs w:val="24"/>
            <w:u w:val="single"/>
            <w:rtl w:val="0"/>
          </w:rPr>
          <w:t xml:space="preserve">https://arxiv.org/html/2505.01326v1</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TNFD Nature-related Risk &amp; Opportunity Management and Disclosure Framework Beta v0.1 Release, accessed on May 5, 2026, </w:t>
      </w:r>
      <w:hyperlink r:id="rId74">
        <w:r w:rsidDel="00000000" w:rsidR="00000000" w:rsidRPr="00000000">
          <w:rPr>
            <w:rFonts w:ascii="Arial" w:cs="Arial" w:eastAsia="Arial" w:hAnsi="Arial"/>
            <w:color w:val="0000ee"/>
            <w:sz w:val="24"/>
            <w:szCs w:val="24"/>
            <w:u w:val="single"/>
            <w:rtl w:val="0"/>
          </w:rPr>
          <w:t xml:space="preserve">https://tnfd.global/wp-content/uploads/2022/03/220321-TNFD-framework-beta-v0.1-FINAL.pdf</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Cultural keystone species revisited: are we asking the right questions? - PMC, accessed on May 5, 2026, </w:t>
      </w:r>
      <w:hyperlink r:id="rId75">
        <w:r w:rsidDel="00000000" w:rsidR="00000000" w:rsidRPr="00000000">
          <w:rPr>
            <w:rFonts w:ascii="Arial" w:cs="Arial" w:eastAsia="Arial" w:hAnsi="Arial"/>
            <w:color w:val="0000ee"/>
            <w:sz w:val="24"/>
            <w:szCs w:val="24"/>
            <w:u w:val="single"/>
            <w:rtl w:val="0"/>
          </w:rPr>
          <w:t xml:space="preserve">https://pmc.ncbi.nlm.nih.gov/articles/PMC7657362/</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Flight Dynamics Principles, accessed on May 5, 2026, </w:t>
      </w:r>
      <w:hyperlink r:id="rId76">
        <w:r w:rsidDel="00000000" w:rsidR="00000000" w:rsidRPr="00000000">
          <w:rPr>
            <w:rFonts w:ascii="Arial" w:cs="Arial" w:eastAsia="Arial" w:hAnsi="Arial"/>
            <w:color w:val="0000ee"/>
            <w:sz w:val="24"/>
            <w:szCs w:val="24"/>
            <w:u w:val="single"/>
            <w:rtl w:val="0"/>
          </w:rPr>
          <w:t xml:space="preserve">http://repo.poltekbangsby.ac.id/12/1/Flight%20Dynamics%20Principles%2C%20Second%20Edition%20A%20Linear%20Systems%20Approach%20to%20Aircraft%20Stability%20and%20Control%20by%20Michael%20V.%20Cook%20%28z-lib.org%29.pdf</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the Principles of PID Controllers? - AZoM, accessed on May 5, 2026, </w:t>
      </w:r>
      <w:hyperlink r:id="rId77">
        <w:r w:rsidDel="00000000" w:rsidR="00000000" w:rsidRPr="00000000">
          <w:rPr>
            <w:rFonts w:ascii="Arial" w:cs="Arial" w:eastAsia="Arial" w:hAnsi="Arial"/>
            <w:color w:val="0000ee"/>
            <w:sz w:val="24"/>
            <w:szCs w:val="24"/>
            <w:u w:val="single"/>
            <w:rtl w:val="0"/>
          </w:rPr>
          <w:t xml:space="preserve">https://www.azom.com/article.aspx?ArticleID=22851</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Adaptive Money Market Interest Rate Strategy Utilizing Control Theory - ResearchGate, accessed on May 5, 2026, </w:t>
      </w:r>
      <w:hyperlink r:id="rId78">
        <w:r w:rsidDel="00000000" w:rsidR="00000000" w:rsidRPr="00000000">
          <w:rPr>
            <w:rFonts w:ascii="Arial" w:cs="Arial" w:eastAsia="Arial" w:hAnsi="Arial"/>
            <w:color w:val="0000ee"/>
            <w:sz w:val="24"/>
            <w:szCs w:val="24"/>
            <w:u w:val="single"/>
            <w:rtl w:val="0"/>
          </w:rPr>
          <w:t xml:space="preserve">https://www.researchgate.net/publication/382271207_Adaptive_Money_Market_Interest_Rate_Strategy_Utilizing_Control_Theory</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Leveraging momentum clustering and PID control for enhanced portfolio management - Taylor &amp; Francis, accessed on May 5, 2026, </w:t>
      </w:r>
      <w:hyperlink r:id="rId79">
        <w:r w:rsidDel="00000000" w:rsidR="00000000" w:rsidRPr="00000000">
          <w:rPr>
            <w:rFonts w:ascii="Arial" w:cs="Arial" w:eastAsia="Arial" w:hAnsi="Arial"/>
            <w:color w:val="0000ee"/>
            <w:sz w:val="24"/>
            <w:szCs w:val="24"/>
            <w:u w:val="single"/>
            <w:rtl w:val="0"/>
          </w:rPr>
          <w:t xml:space="preserve">https://www.tandfonline.com/doi/full/10.1080/23322039.2024.2449194</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Introduction to PID Controllers - DigiKey, accessed on May 5, 2026, </w:t>
      </w:r>
      <w:hyperlink r:id="rId80">
        <w:r w:rsidDel="00000000" w:rsidR="00000000" w:rsidRPr="00000000">
          <w:rPr>
            <w:rFonts w:ascii="Arial" w:cs="Arial" w:eastAsia="Arial" w:hAnsi="Arial"/>
            <w:color w:val="0000ee"/>
            <w:sz w:val="24"/>
            <w:szCs w:val="24"/>
            <w:u w:val="single"/>
            <w:rtl w:val="0"/>
          </w:rPr>
          <w:t xml:space="preserve">https://www.digikey.com/en/maker/projects/introduction-to-pid-controllers/763a6dca352b4f2ba00adde46445ddeb</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Adaptive Tensor Network Simulation via Entropy-Feedback PID Control and GPU-Accelerated SVD - arXiv, accessed on May 5, 2026, </w:t>
      </w:r>
      <w:hyperlink r:id="rId81">
        <w:r w:rsidDel="00000000" w:rsidR="00000000" w:rsidRPr="00000000">
          <w:rPr>
            <w:rFonts w:ascii="Arial" w:cs="Arial" w:eastAsia="Arial" w:hAnsi="Arial"/>
            <w:color w:val="0000ee"/>
            <w:sz w:val="24"/>
            <w:szCs w:val="24"/>
            <w:u w:val="single"/>
            <w:rtl w:val="0"/>
          </w:rPr>
          <w:t xml:space="preserve">https://arxiv.org/html/2604.03960v1</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Control Technology - IEEE Control Systems Society, accessed on May 5, 2026, </w:t>
      </w:r>
      <w:hyperlink r:id="rId82">
        <w:r w:rsidDel="00000000" w:rsidR="00000000" w:rsidRPr="00000000">
          <w:rPr>
            <w:rFonts w:ascii="Arial" w:cs="Arial" w:eastAsia="Arial" w:hAnsi="Arial"/>
            <w:color w:val="0000ee"/>
            <w:sz w:val="24"/>
            <w:szCs w:val="24"/>
            <w:u w:val="single"/>
            <w:rtl w:val="0"/>
          </w:rPr>
          <w:t xml:space="preserve">https://ieeecss.org/sites/ieeecss/files/2019-07/IoCT-FullReport_v2.pdf</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Project A6: Surveillance Criticality - FAA's ASSURE - Mississippi State University, accessed on May 5, 2026, </w:t>
      </w:r>
      <w:hyperlink r:id="rId83">
        <w:r w:rsidDel="00000000" w:rsidR="00000000" w:rsidRPr="00000000">
          <w:rPr>
            <w:rFonts w:ascii="Arial" w:cs="Arial" w:eastAsia="Arial" w:hAnsi="Arial"/>
            <w:color w:val="0000ee"/>
            <w:sz w:val="24"/>
            <w:szCs w:val="24"/>
            <w:u w:val="single"/>
            <w:rtl w:val="0"/>
          </w:rPr>
          <w:t xml:space="preserve">https://assure.msstate.edu/wp-content/uploads/2021/06/A6-Final-Report.pdf</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Investigation of Drive-Reinforcement Learning and Application of Learning to Flight Control - DTIC, accessed on May 5, 2026, </w:t>
      </w:r>
      <w:hyperlink r:id="rId84">
        <w:r w:rsidDel="00000000" w:rsidR="00000000" w:rsidRPr="00000000">
          <w:rPr>
            <w:rFonts w:ascii="Arial" w:cs="Arial" w:eastAsia="Arial" w:hAnsi="Arial"/>
            <w:color w:val="0000ee"/>
            <w:sz w:val="24"/>
            <w:szCs w:val="24"/>
            <w:u w:val="single"/>
            <w:rtl w:val="0"/>
          </w:rPr>
          <w:t xml:space="preserve">https://apps.dtic.mil/sti/tr/pdf/ADA277442.pdf</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Symmetry-Aware Credit Risk Modeling: A Deep Learning ... - MDPI, accessed on May 5, 2026, </w:t>
      </w:r>
      <w:hyperlink r:id="rId85">
        <w:r w:rsidDel="00000000" w:rsidR="00000000" w:rsidRPr="00000000">
          <w:rPr>
            <w:rFonts w:ascii="Arial" w:cs="Arial" w:eastAsia="Arial" w:hAnsi="Arial"/>
            <w:color w:val="0000ee"/>
            <w:sz w:val="24"/>
            <w:szCs w:val="24"/>
            <w:u w:val="single"/>
            <w:rtl w:val="0"/>
          </w:rPr>
          <w:t xml:space="preserve">https://www.mdpi.com/2073-8994/17/3/341</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Ms. Mengdie Wang | Author - SciProfiles, accessed on May 5, 2026, </w:t>
      </w:r>
      <w:hyperlink r:id="rId86">
        <w:r w:rsidDel="00000000" w:rsidR="00000000" w:rsidRPr="00000000">
          <w:rPr>
            <w:rFonts w:ascii="Arial" w:cs="Arial" w:eastAsia="Arial" w:hAnsi="Arial"/>
            <w:color w:val="0000ee"/>
            <w:sz w:val="24"/>
            <w:szCs w:val="24"/>
            <w:u w:val="single"/>
            <w:rtl w:val="0"/>
          </w:rPr>
          <w:t xml:space="preserve">https://sciprofiles.com/profile/4180416?utm_source=mdpi.com&amp;utm_medium=website&amp;utm_campaign=avatar_name</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Symmetry-Aware Credit Risk Modeling: A Deep Learning Framework Exploiting Financial Data Balance and Invariance - ResearchGate, accessed on May 5, 2026, </w:t>
      </w:r>
      <w:hyperlink r:id="rId87">
        <w:r w:rsidDel="00000000" w:rsidR="00000000" w:rsidRPr="00000000">
          <w:rPr>
            <w:rFonts w:ascii="Arial" w:cs="Arial" w:eastAsia="Arial" w:hAnsi="Arial"/>
            <w:color w:val="0000ee"/>
            <w:sz w:val="24"/>
            <w:szCs w:val="24"/>
            <w:u w:val="single"/>
            <w:rtl w:val="0"/>
          </w:rPr>
          <w:t xml:space="preserve">https://www.researchgate.net/publication/389278324_Symmetry-Aware_Credit_Risk_Modeling_A_Deep_Learning_Framework_Exploiting_Financial_Data_Balance_and_Invariance</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Track: Poster Session 3 - ICML 2026, accessed on May 5, 2026, </w:t>
      </w:r>
      <w:hyperlink r:id="rId88">
        <w:r w:rsidDel="00000000" w:rsidR="00000000" w:rsidRPr="00000000">
          <w:rPr>
            <w:rFonts w:ascii="Arial" w:cs="Arial" w:eastAsia="Arial" w:hAnsi="Arial"/>
            <w:color w:val="0000ee"/>
            <w:sz w:val="24"/>
            <w:szCs w:val="24"/>
            <w:u w:val="single"/>
            <w:rtl w:val="0"/>
          </w:rPr>
          <w:t xml:space="preserve">https://icml.cc/virtual/2024/session/35593</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ICML Poster Symmetry-Aware GFlowNets, accessed on May 5, 2026, </w:t>
      </w:r>
      <w:hyperlink r:id="rId89">
        <w:r w:rsidDel="00000000" w:rsidR="00000000" w:rsidRPr="00000000">
          <w:rPr>
            <w:rFonts w:ascii="Arial" w:cs="Arial" w:eastAsia="Arial" w:hAnsi="Arial"/>
            <w:color w:val="0000ee"/>
            <w:sz w:val="24"/>
            <w:szCs w:val="24"/>
            <w:u w:val="single"/>
            <w:rtl w:val="0"/>
          </w:rPr>
          <w:t xml:space="preserve">https://icml.cc/virtual/2025/poster/45704</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CryoEMNet driven symmetry-aware molecular reconstruction through deep learning enhanced electron microscopy - PMC, accessed on May 5, 2026, </w:t>
      </w:r>
      <w:hyperlink r:id="rId90">
        <w:r w:rsidDel="00000000" w:rsidR="00000000" w:rsidRPr="00000000">
          <w:rPr>
            <w:rFonts w:ascii="Arial" w:cs="Arial" w:eastAsia="Arial" w:hAnsi="Arial"/>
            <w:color w:val="0000ee"/>
            <w:sz w:val="24"/>
            <w:szCs w:val="24"/>
            <w:u w:val="single"/>
            <w:rtl w:val="0"/>
          </w:rPr>
          <w:t xml:space="preserve">https://pmc.ncbi.nlm.nih.gov/articles/PMC12494693/</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Leveraging Distributional Symmetry in Credit Card Fraud Detection via Conditional Tabular GAN Augmentation and LightGBM - MDPI, accessed on May 5, 2026, </w:t>
      </w:r>
      <w:hyperlink r:id="rId91">
        <w:r w:rsidDel="00000000" w:rsidR="00000000" w:rsidRPr="00000000">
          <w:rPr>
            <w:rFonts w:ascii="Arial" w:cs="Arial" w:eastAsia="Arial" w:hAnsi="Arial"/>
            <w:color w:val="0000ee"/>
            <w:sz w:val="24"/>
            <w:szCs w:val="24"/>
            <w:u w:val="single"/>
            <w:rtl w:val="0"/>
          </w:rPr>
          <w:t xml:space="preserve">https://www.mdpi.com/2073-8994/18/2/224</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Technical report: 2024 Climate Risk Stress Test (CRST) - South African Reserve Bank, accessed on May 5, 2026, </w:t>
      </w:r>
      <w:hyperlink r:id="rId92">
        <w:r w:rsidDel="00000000" w:rsidR="00000000" w:rsidRPr="00000000">
          <w:rPr>
            <w:rFonts w:ascii="Arial" w:cs="Arial" w:eastAsia="Arial" w:hAnsi="Arial"/>
            <w:color w:val="0000ee"/>
            <w:sz w:val="24"/>
            <w:szCs w:val="24"/>
            <w:u w:val="single"/>
            <w:rtl w:val="0"/>
          </w:rPr>
          <w:t xml:space="preserve">https://www.resbank.co.za/content/dam/sarb/publications/reviews/finstab-review/2025/financial-stability-review/2024%20CRST%20Technical%20Report_.pdf</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article: The impact of climate risk on corporate credit risk - Taylor &amp; Francis, accessed on May 5, 2026, </w:t>
      </w:r>
      <w:hyperlink r:id="rId93">
        <w:r w:rsidDel="00000000" w:rsidR="00000000" w:rsidRPr="00000000">
          <w:rPr>
            <w:rFonts w:ascii="Arial" w:cs="Arial" w:eastAsia="Arial" w:hAnsi="Arial"/>
            <w:color w:val="0000ee"/>
            <w:sz w:val="24"/>
            <w:szCs w:val="24"/>
            <w:u w:val="single"/>
            <w:rtl w:val="0"/>
          </w:rPr>
          <w:t xml:space="preserve">https://www.tandfonline.com/doi/full/10.1080/23322039.2022.2148362</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Climate Report 2025 - Old Mutual Limited, accessed on May 5, 2026, </w:t>
      </w:r>
      <w:hyperlink r:id="rId94">
        <w:r w:rsidDel="00000000" w:rsidR="00000000" w:rsidRPr="00000000">
          <w:rPr>
            <w:rFonts w:ascii="Arial" w:cs="Arial" w:eastAsia="Arial" w:hAnsi="Arial"/>
            <w:color w:val="0000ee"/>
            <w:sz w:val="24"/>
            <w:szCs w:val="24"/>
            <w:u w:val="single"/>
            <w:rtl w:val="0"/>
          </w:rPr>
          <w:t xml:space="preserve">https://www.oldmutual.com/om-docs/bltda24621a20bffe71/Climate_Report_2025.pdf</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South Africa Agriculture Market Statistics, Trends &amp; Industry Outlook 2031, accessed on May 5, 2026, </w:t>
      </w:r>
      <w:hyperlink r:id="rId95">
        <w:r w:rsidDel="00000000" w:rsidR="00000000" w:rsidRPr="00000000">
          <w:rPr>
            <w:rFonts w:ascii="Arial" w:cs="Arial" w:eastAsia="Arial" w:hAnsi="Arial"/>
            <w:color w:val="0000ee"/>
            <w:sz w:val="24"/>
            <w:szCs w:val="24"/>
            <w:u w:val="single"/>
            <w:rtl w:val="0"/>
          </w:rPr>
          <w:t xml:space="preserve">https://www.mordorintelligence.com/industry-reports/agriculture-in-south-africa-industry</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Infrastructure Performance and Irrigation Water Governance in Genadendal, Western Cape, South Africa - MDPI, accessed on May 5, 2026, </w:t>
      </w:r>
      <w:hyperlink r:id="rId96">
        <w:r w:rsidDel="00000000" w:rsidR="00000000" w:rsidRPr="00000000">
          <w:rPr>
            <w:rFonts w:ascii="Arial" w:cs="Arial" w:eastAsia="Arial" w:hAnsi="Arial"/>
            <w:color w:val="0000ee"/>
            <w:sz w:val="24"/>
            <w:szCs w:val="24"/>
            <w:u w:val="single"/>
            <w:rtl w:val="0"/>
          </w:rPr>
          <w:t xml:space="preserve">https://www.mdpi.com/2071-1050/14/19/12174</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Climate Change on u.S. Subnational Economies, accessed on May 5, 2026, </w:t>
      </w:r>
      <w:hyperlink r:id="rId97">
        <w:r w:rsidDel="00000000" w:rsidR="00000000" w:rsidRPr="00000000">
          <w:rPr>
            <w:rFonts w:ascii="Arial" w:cs="Arial" w:eastAsia="Arial" w:hAnsi="Arial"/>
            <w:color w:val="0000ee"/>
            <w:sz w:val="24"/>
            <w:szCs w:val="24"/>
            <w:u w:val="single"/>
            <w:rtl w:val="0"/>
          </w:rPr>
          <w:t xml:space="preserve">https://www.economy.com/home/products/samples/climate-change-methodology.pdf</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Calibrated Credit Intelligence: Shift-Robust and Fair Risk Scoring with Bayesian Uncertainty and Gradient Boosting - arXiv, accessed on May 5, 2026, </w:t>
      </w:r>
      <w:hyperlink r:id="rId98">
        <w:r w:rsidDel="00000000" w:rsidR="00000000" w:rsidRPr="00000000">
          <w:rPr>
            <w:rFonts w:ascii="Arial" w:cs="Arial" w:eastAsia="Arial" w:hAnsi="Arial"/>
            <w:color w:val="0000ee"/>
            <w:sz w:val="24"/>
            <w:szCs w:val="24"/>
            <w:u w:val="single"/>
            <w:rtl w:val="0"/>
          </w:rPr>
          <w:t xml:space="preserve">https://arxiv.org/html/2603.06733v1</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Calibrated Credit Intelligence: Shift-Robust and Fair Risk Scoring with Bayesian Uncertainty and Gradient Boosting - arXiv, accessed on May 5, 2026, </w:t>
      </w:r>
      <w:hyperlink r:id="rId99">
        <w:r w:rsidDel="00000000" w:rsidR="00000000" w:rsidRPr="00000000">
          <w:rPr>
            <w:rFonts w:ascii="Arial" w:cs="Arial" w:eastAsia="Arial" w:hAnsi="Arial"/>
            <w:color w:val="0000ee"/>
            <w:sz w:val="24"/>
            <w:szCs w:val="24"/>
            <w:u w:val="single"/>
            <w:rtl w:val="0"/>
          </w:rPr>
          <w:t xml:space="preserve">https://arxiv.org/pdf/2603.06733v1?ref=taaft&amp;utm_source=taaft&amp;utm_medium=referral</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awesome-trustworthy-deep-learning/FULL_LIST.md at master - GitHub, accessed on May 5, 2026, </w:t>
      </w:r>
      <w:hyperlink r:id="rId100">
        <w:r w:rsidDel="00000000" w:rsidR="00000000" w:rsidRPr="00000000">
          <w:rPr>
            <w:rFonts w:ascii="Arial" w:cs="Arial" w:eastAsia="Arial" w:hAnsi="Arial"/>
            <w:color w:val="0000ee"/>
            <w:sz w:val="24"/>
            <w:szCs w:val="24"/>
            <w:u w:val="single"/>
            <w:rtl w:val="0"/>
          </w:rPr>
          <w:t xml:space="preserve">https://github.com/MinghuiChen43/awesome-trustworthy-deep-learning/blob/master/FULL_LIST.md</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Bayesian Causal Inference for Credit Default Risk - MDPI, accessed on May 5, 2026, </w:t>
      </w:r>
      <w:hyperlink r:id="rId101">
        <w:r w:rsidDel="00000000" w:rsidR="00000000" w:rsidRPr="00000000">
          <w:rPr>
            <w:rFonts w:ascii="Arial" w:cs="Arial" w:eastAsia="Arial" w:hAnsi="Arial"/>
            <w:color w:val="0000ee"/>
            <w:sz w:val="24"/>
            <w:szCs w:val="24"/>
            <w:u w:val="single"/>
            <w:rtl w:val="0"/>
          </w:rPr>
          <w:t xml:space="preserve">https://www.mdpi.com/2227-9091/14/2/38</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bayesian logistic regression - RPubs, accessed on May 5, 2026, </w:t>
      </w:r>
      <w:hyperlink r:id="rId102">
        <w:r w:rsidDel="00000000" w:rsidR="00000000" w:rsidRPr="00000000">
          <w:rPr>
            <w:rFonts w:ascii="Arial" w:cs="Arial" w:eastAsia="Arial" w:hAnsi="Arial"/>
            <w:color w:val="0000ee"/>
            <w:sz w:val="24"/>
            <w:szCs w:val="24"/>
            <w:u w:val="single"/>
            <w:rtl w:val="0"/>
          </w:rPr>
          <w:t xml:space="preserve">https://rpubs.com/BayesianN/claims</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Landscape of AI Safety and Beneficence Research: Input for Brainstorming at Beneficial AI 2017, accessed on May 5, 2026, </w:t>
      </w:r>
      <w:hyperlink r:id="rId103">
        <w:r w:rsidDel="00000000" w:rsidR="00000000" w:rsidRPr="00000000">
          <w:rPr>
            <w:rFonts w:ascii="Arial" w:cs="Arial" w:eastAsia="Arial" w:hAnsi="Arial"/>
            <w:color w:val="0000ee"/>
            <w:sz w:val="24"/>
            <w:szCs w:val="24"/>
            <w:u w:val="single"/>
            <w:rtl w:val="0"/>
          </w:rPr>
          <w:t xml:space="preserve">https://futureoflife.org/landscape/ResearchLandscapeExtended.pdf</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 Safety - EECS, accessed on May 5, 2026, </w:t>
      </w:r>
      <w:hyperlink r:id="rId104">
        <w:r w:rsidDel="00000000" w:rsidR="00000000" w:rsidRPr="00000000">
          <w:rPr>
            <w:rFonts w:ascii="Arial" w:cs="Arial" w:eastAsia="Arial" w:hAnsi="Arial"/>
            <w:color w:val="0000ee"/>
            <w:sz w:val="24"/>
            <w:szCs w:val="24"/>
            <w:u w:val="single"/>
            <w:rtl w:val="0"/>
          </w:rPr>
          <w:t xml:space="preserve">https://www2.eecs.berkeley.edu/Pubs/TechRpts/2022/EECS-2022-122.pdf</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Credit risk prediction with and without weights of evidence using quantitative learning models - Taylor &amp; Francis, accessed on May 5, 2026, </w:t>
      </w:r>
      <w:hyperlink r:id="rId105">
        <w:r w:rsidDel="00000000" w:rsidR="00000000" w:rsidRPr="00000000">
          <w:rPr>
            <w:rFonts w:ascii="Arial" w:cs="Arial" w:eastAsia="Arial" w:hAnsi="Arial"/>
            <w:color w:val="0000ee"/>
            <w:sz w:val="24"/>
            <w:szCs w:val="24"/>
            <w:u w:val="single"/>
            <w:rtl w:val="0"/>
          </w:rPr>
          <w:t xml:space="preserve">https://www.tandfonline.com/doi/abs/10.1080/23322039.2024.2338971</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Cognition in Superposition: Quantum Models in AI, Finance, Defence, Gaming and Collective Behaviour - arXiv, accessed on May 5, 2026, </w:t>
      </w:r>
      <w:hyperlink r:id="rId106">
        <w:r w:rsidDel="00000000" w:rsidR="00000000" w:rsidRPr="00000000">
          <w:rPr>
            <w:rFonts w:ascii="Arial" w:cs="Arial" w:eastAsia="Arial" w:hAnsi="Arial"/>
            <w:color w:val="0000ee"/>
            <w:sz w:val="24"/>
            <w:szCs w:val="24"/>
            <w:u w:val="single"/>
            <w:rtl w:val="0"/>
          </w:rPr>
          <w:t xml:space="preserve">https://arxiv.org/html/2508.20098v1</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2ND INTERNATIONAL CONFERNCE GRADUATE &amp; COLLOQUIUM AND 3 MINUTE THESIS COMPETITION Impactful Research for Sustainable Development - Hailey College of Commerce, accessed on May 5, 2026, </w:t>
      </w:r>
      <w:hyperlink r:id="rId107">
        <w:r w:rsidDel="00000000" w:rsidR="00000000" w:rsidRPr="00000000">
          <w:rPr>
            <w:rFonts w:ascii="Arial" w:cs="Arial" w:eastAsia="Arial" w:hAnsi="Arial"/>
            <w:color w:val="0000ee"/>
            <w:sz w:val="24"/>
            <w:szCs w:val="24"/>
            <w:u w:val="single"/>
            <w:rtl w:val="0"/>
          </w:rPr>
          <w:t xml:space="preserve">http://www.hcc.edu.pk/wp-content/uploads/2022/05/Conference-Proceeding.pdf</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Hebbian Learning - The Decision Lab, accessed on May 5, 2026, </w:t>
      </w:r>
      <w:hyperlink r:id="rId108">
        <w:r w:rsidDel="00000000" w:rsidR="00000000" w:rsidRPr="00000000">
          <w:rPr>
            <w:rFonts w:ascii="Arial" w:cs="Arial" w:eastAsia="Arial" w:hAnsi="Arial"/>
            <w:color w:val="0000ee"/>
            <w:sz w:val="24"/>
            <w:szCs w:val="24"/>
            <w:u w:val="single"/>
            <w:rtl w:val="0"/>
          </w:rPr>
          <w:t xml:space="preserve">https://thedecisionlab.com/reference-guide/neuroscience/hebbian-learning</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Controls for Space: a perspective to 2030s and beyond II, accessed on May 5, 2026, </w:t>
      </w:r>
      <w:hyperlink r:id="rId109">
        <w:r w:rsidDel="00000000" w:rsidR="00000000" w:rsidRPr="00000000">
          <w:rPr>
            <w:rFonts w:ascii="Arial" w:cs="Arial" w:eastAsia="Arial" w:hAnsi="Arial"/>
            <w:color w:val="0000ee"/>
            <w:sz w:val="24"/>
            <w:szCs w:val="24"/>
            <w:u w:val="single"/>
            <w:rtl w:val="0"/>
          </w:rPr>
          <w:t xml:space="preserve">https://slab.stanford.edu/sites/g/files/sbiybj25201/files/media/file/acc2025_tutorial_paper_ii.pdf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financialindependence/comments/nplkkb/i_hate_how_money_makes_me_desperate/" TargetMode="External"/><Relationship Id="rId42" Type="http://schemas.openxmlformats.org/officeDocument/2006/relationships/hyperlink" Target="https://epubs.siam.org/doi/10.1137/0916069" TargetMode="External"/><Relationship Id="rId41" Type="http://schemas.openxmlformats.org/officeDocument/2006/relationships/hyperlink" Target="http://www.cmsim.org/images/CHAOS_Proceedings-2020_A-Gr-1-278.pdf" TargetMode="External"/><Relationship Id="rId44" Type="http://schemas.openxmlformats.org/officeDocument/2006/relationships/hyperlink" Target="https://www.biorxiv.org/content/10.1101/2025.06.12.659336v1.full" TargetMode="External"/><Relationship Id="rId43" Type="http://schemas.openxmlformats.org/officeDocument/2006/relationships/hyperlink" Target="https://pmc.ncbi.nlm.nih.gov/articles/PMC9668522/" TargetMode="External"/><Relationship Id="rId46" Type="http://schemas.openxmlformats.org/officeDocument/2006/relationships/hyperlink" Target="https://weeklyreport.ai/briefings/hebbian-learning/" TargetMode="External"/><Relationship Id="rId45" Type="http://schemas.openxmlformats.org/officeDocument/2006/relationships/hyperlink" Target="https://www.quantamagazine.org/a-new-type-of-neuroplasticity-rewires-the-brain-after-a-single-experience-20260424/" TargetMode="External"/><Relationship Id="rId107" Type="http://schemas.openxmlformats.org/officeDocument/2006/relationships/hyperlink" Target="http://www.hcc.edu.pk/wp-content/uploads/2022/05/Conference-Proceeding.pdf" TargetMode="External"/><Relationship Id="rId106" Type="http://schemas.openxmlformats.org/officeDocument/2006/relationships/hyperlink" Target="https://arxiv.org/html/2508.20098v1" TargetMode="External"/><Relationship Id="rId105" Type="http://schemas.openxmlformats.org/officeDocument/2006/relationships/hyperlink" Target="https://www.tandfonline.com/doi/abs/10.1080/23322039.2024.2338971" TargetMode="External"/><Relationship Id="rId104" Type="http://schemas.openxmlformats.org/officeDocument/2006/relationships/hyperlink" Target="https://www2.eecs.berkeley.edu/Pubs/TechRpts/2022/EECS-2022-122.pdf" TargetMode="External"/><Relationship Id="rId109" Type="http://schemas.openxmlformats.org/officeDocument/2006/relationships/hyperlink" Target="https://slab.stanford.edu/sites/g/files/sbiybj25201/files/media/file/acc2025_tutorial_paper_ii.pdf" TargetMode="External"/><Relationship Id="rId108" Type="http://schemas.openxmlformats.org/officeDocument/2006/relationships/hyperlink" Target="https://thedecisionlab.com/reference-guide/neuroscience/hebbian-learning" TargetMode="External"/><Relationship Id="rId48" Type="http://schemas.openxmlformats.org/officeDocument/2006/relationships/hyperlink" Target="https://www.brainzmagazine.com/post/the-brain-believes-repetition-more-than-intention" TargetMode="External"/><Relationship Id="rId47" Type="http://schemas.openxmlformats.org/officeDocument/2006/relationships/hyperlink" Target="https://klab.tch.harvard.edu/publications/PDFs/gk8154.pdf" TargetMode="External"/><Relationship Id="rId49" Type="http://schemas.openxmlformats.org/officeDocument/2006/relationships/hyperlink" Target="https://www.jneurosci.org/content/33/4/1521" TargetMode="External"/><Relationship Id="rId103" Type="http://schemas.openxmlformats.org/officeDocument/2006/relationships/hyperlink" Target="https://futureoflife.org/landscape/ResearchLandscapeExtended.pdf" TargetMode="External"/><Relationship Id="rId102" Type="http://schemas.openxmlformats.org/officeDocument/2006/relationships/hyperlink" Target="https://rpubs.com/BayesianN/claims" TargetMode="External"/><Relationship Id="rId101" Type="http://schemas.openxmlformats.org/officeDocument/2006/relationships/hyperlink" Target="https://www.mdpi.com/2227-9091/14/2/38" TargetMode="External"/><Relationship Id="rId100" Type="http://schemas.openxmlformats.org/officeDocument/2006/relationships/hyperlink" Target="https://github.com/MinghuiChen43/awesome-trustworthy-deep-learning/blob/master/FULL_LIST.md" TargetMode="External"/><Relationship Id="rId31" Type="http://schemas.openxmlformats.org/officeDocument/2006/relationships/hyperlink" Target="https://arxiv.org/html/2509.09855v1" TargetMode="External"/><Relationship Id="rId30" Type="http://schemas.openxmlformats.org/officeDocument/2006/relationships/hyperlink" Target="https://www.mdpi.com/1911-8074/18/11/615" TargetMode="External"/><Relationship Id="rId33" Type="http://schemas.openxmlformats.org/officeDocument/2006/relationships/hyperlink" Target="https://medium.com/@luuisotorres/logistic-regression-in-credit-risk-the-role-of-weight-of-evidence-and-information-value-9e26dd690b16" TargetMode="External"/><Relationship Id="rId32" Type="http://schemas.openxmlformats.org/officeDocument/2006/relationships/hyperlink" Target="https://medium.com/@fabiodigiovanni97/mastering-credit-scorecard-development-part-2-from-data-to-risk-driven-insights-f21cf5ae667a" TargetMode="External"/><Relationship Id="rId35" Type="http://schemas.openxmlformats.org/officeDocument/2006/relationships/hyperlink" Target="https://dergipark.org.tr/en/download/article-file/4586214" TargetMode="External"/><Relationship Id="rId34" Type="http://schemas.openxmlformats.org/officeDocument/2006/relationships/hyperlink" Target="https://www.researchgate.net/publication/324092997_Chaos_Theory_and_Butterfly_Effects_in_Times_of_Corruption_and_a_Bank_Crash_in_1886_The_Case_of_Arendal_Norway_Illustrated_through_a_Regional-Globalized_Model" TargetMode="External"/><Relationship Id="rId37" Type="http://schemas.openxmlformats.org/officeDocument/2006/relationships/hyperlink" Target="https://www.egu.eu/news/904/chaos-to-control-scientists-use-a-butterfly-attractor-to-control-and-change-the-weather/" TargetMode="External"/><Relationship Id="rId36" Type="http://schemas.openxmlformats.org/officeDocument/2006/relationships/hyperlink" Target="https://www.portfolio-institutional.co.uk/features/the-butterfly-effect-understanding-star-manager-risk/" TargetMode="External"/><Relationship Id="rId39" Type="http://schemas.openxmlformats.org/officeDocument/2006/relationships/hyperlink" Target="https://www.researchgate.net/topic/Computational-Economics/publications" TargetMode="External"/><Relationship Id="rId38" Type="http://schemas.openxmlformats.org/officeDocument/2006/relationships/hyperlink" Target="https://www.mdpi.com/1099-4300/21/5/509" TargetMode="External"/><Relationship Id="rId20" Type="http://schemas.openxmlformats.org/officeDocument/2006/relationships/image" Target="media/image15.png"/><Relationship Id="rId22" Type="http://schemas.openxmlformats.org/officeDocument/2006/relationships/image" Target="media/image8.png"/><Relationship Id="rId21" Type="http://schemas.openxmlformats.org/officeDocument/2006/relationships/image" Target="media/image3.png"/><Relationship Id="rId24" Type="http://schemas.openxmlformats.org/officeDocument/2006/relationships/image" Target="media/image17.png"/><Relationship Id="rId23" Type="http://schemas.openxmlformats.org/officeDocument/2006/relationships/image" Target="media/image10.png"/><Relationship Id="rId26" Type="http://schemas.openxmlformats.org/officeDocument/2006/relationships/image" Target="media/image4.png"/><Relationship Id="rId25" Type="http://schemas.openxmlformats.org/officeDocument/2006/relationships/image" Target="media/image20.png"/><Relationship Id="rId28" Type="http://schemas.openxmlformats.org/officeDocument/2006/relationships/hyperlink" Target="https://pmc.ncbi.nlm.nih.gov/articles/PMC11318906/" TargetMode="External"/><Relationship Id="rId27" Type="http://schemas.openxmlformats.org/officeDocument/2006/relationships/hyperlink" Target="https://medium.com/@fabiodigiovanni97/mastering-credit-scorecard-development-part-3-from-logistic-regression-to-machine-learning-466ae312922b" TargetMode="External"/><Relationship Id="rId29" Type="http://schemas.openxmlformats.org/officeDocument/2006/relationships/hyperlink" Target="https://www.researchgate.net/publication/31083986_Modelling_consumer_credit_risk" TargetMode="External"/><Relationship Id="rId95" Type="http://schemas.openxmlformats.org/officeDocument/2006/relationships/hyperlink" Target="https://www.mordorintelligence.com/industry-reports/agriculture-in-south-africa-industry" TargetMode="External"/><Relationship Id="rId94" Type="http://schemas.openxmlformats.org/officeDocument/2006/relationships/hyperlink" Target="https://www.oldmutual.com/om-docs/bltda24621a20bffe71/Climate_Report_2025.pdf" TargetMode="External"/><Relationship Id="rId97" Type="http://schemas.openxmlformats.org/officeDocument/2006/relationships/hyperlink" Target="https://www.economy.com/home/products/samples/climate-change-methodology.pdf" TargetMode="External"/><Relationship Id="rId96" Type="http://schemas.openxmlformats.org/officeDocument/2006/relationships/hyperlink" Target="https://www.mdpi.com/2071-1050/14/19/12174" TargetMode="External"/><Relationship Id="rId11" Type="http://schemas.openxmlformats.org/officeDocument/2006/relationships/image" Target="media/image1.png"/><Relationship Id="rId99" Type="http://schemas.openxmlformats.org/officeDocument/2006/relationships/hyperlink" Target="https://arxiv.org/pdf/2603.06733v1?ref=taaft&amp;utm_source=taaft&amp;utm_medium=referral" TargetMode="External"/><Relationship Id="rId10" Type="http://schemas.openxmlformats.org/officeDocument/2006/relationships/image" Target="media/image16.png"/><Relationship Id="rId98" Type="http://schemas.openxmlformats.org/officeDocument/2006/relationships/hyperlink" Target="https://arxiv.org/html/2603.06733v1" TargetMode="External"/><Relationship Id="rId13" Type="http://schemas.openxmlformats.org/officeDocument/2006/relationships/image" Target="media/image14.png"/><Relationship Id="rId12" Type="http://schemas.openxmlformats.org/officeDocument/2006/relationships/image" Target="media/image11.png"/><Relationship Id="rId91" Type="http://schemas.openxmlformats.org/officeDocument/2006/relationships/hyperlink" Target="https://www.mdpi.com/2073-8994/18/2/224" TargetMode="External"/><Relationship Id="rId90" Type="http://schemas.openxmlformats.org/officeDocument/2006/relationships/hyperlink" Target="https://pmc.ncbi.nlm.nih.gov/articles/PMC12494693/" TargetMode="External"/><Relationship Id="rId93" Type="http://schemas.openxmlformats.org/officeDocument/2006/relationships/hyperlink" Target="https://www.tandfonline.com/doi/full/10.1080/23322039.2022.2148362" TargetMode="External"/><Relationship Id="rId92" Type="http://schemas.openxmlformats.org/officeDocument/2006/relationships/hyperlink" Target="https://www.resbank.co.za/content/dam/sarb/publications/reviews/finstab-review/2025/financial-stability-review/2024%20CRST%20Technical%20Report_.pdf" TargetMode="External"/><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5.png"/><Relationship Id="rId19" Type="http://schemas.openxmlformats.org/officeDocument/2006/relationships/image" Target="media/image12.png"/><Relationship Id="rId18" Type="http://schemas.openxmlformats.org/officeDocument/2006/relationships/image" Target="media/image19.png"/><Relationship Id="rId84" Type="http://schemas.openxmlformats.org/officeDocument/2006/relationships/hyperlink" Target="https://apps.dtic.mil/sti/tr/pdf/ADA277442.pdf" TargetMode="External"/><Relationship Id="rId83" Type="http://schemas.openxmlformats.org/officeDocument/2006/relationships/hyperlink" Target="https://assure.msstate.edu/wp-content/uploads/2021/06/A6-Final-Report.pdf" TargetMode="External"/><Relationship Id="rId86" Type="http://schemas.openxmlformats.org/officeDocument/2006/relationships/hyperlink" Target="https://sciprofiles.com/profile/4180416?utm_source=mdpi.com&amp;utm_medium=website&amp;utm_campaign=avatar_name" TargetMode="External"/><Relationship Id="rId85" Type="http://schemas.openxmlformats.org/officeDocument/2006/relationships/hyperlink" Target="https://www.mdpi.com/2073-8994/17/3/341" TargetMode="External"/><Relationship Id="rId88" Type="http://schemas.openxmlformats.org/officeDocument/2006/relationships/hyperlink" Target="https://icml.cc/virtual/2024/session/35593" TargetMode="External"/><Relationship Id="rId87" Type="http://schemas.openxmlformats.org/officeDocument/2006/relationships/hyperlink" Target="https://www.researchgate.net/publication/389278324_Symmetry-Aware_Credit_Risk_Modeling_A_Deep_Learning_Framework_Exploiting_Financial_Data_Balance_and_Invariance" TargetMode="External"/><Relationship Id="rId89" Type="http://schemas.openxmlformats.org/officeDocument/2006/relationships/hyperlink" Target="https://icml.cc/virtual/2025/poster/45704" TargetMode="External"/><Relationship Id="rId80" Type="http://schemas.openxmlformats.org/officeDocument/2006/relationships/hyperlink" Target="https://www.digikey.com/en/maker/projects/introduction-to-pid-controllers/763a6dca352b4f2ba00adde46445ddeb" TargetMode="External"/><Relationship Id="rId82" Type="http://schemas.openxmlformats.org/officeDocument/2006/relationships/hyperlink" Target="https://ieeecss.org/sites/ieeecss/files/2019-07/IoCT-FullReport_v2.pdf" TargetMode="External"/><Relationship Id="rId81" Type="http://schemas.openxmlformats.org/officeDocument/2006/relationships/hyperlink" Target="https://arxiv.org/html/2604.03960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21.png"/><Relationship Id="rId73" Type="http://schemas.openxmlformats.org/officeDocument/2006/relationships/hyperlink" Target="https://arxiv.org/html/2505.01326v1" TargetMode="External"/><Relationship Id="rId72" Type="http://schemas.openxmlformats.org/officeDocument/2006/relationships/hyperlink" Target="https://www.pnas.org/doi/10.1073/pnas.1213767109" TargetMode="External"/><Relationship Id="rId75" Type="http://schemas.openxmlformats.org/officeDocument/2006/relationships/hyperlink" Target="https://pmc.ncbi.nlm.nih.gov/articles/PMC7657362/" TargetMode="External"/><Relationship Id="rId74" Type="http://schemas.openxmlformats.org/officeDocument/2006/relationships/hyperlink" Target="https://tnfd.global/wp-content/uploads/2022/03/220321-TNFD-framework-beta-v0.1-FINAL.pdf" TargetMode="External"/><Relationship Id="rId77" Type="http://schemas.openxmlformats.org/officeDocument/2006/relationships/hyperlink" Target="https://www.azom.com/article.aspx?ArticleID=22851" TargetMode="External"/><Relationship Id="rId76" Type="http://schemas.openxmlformats.org/officeDocument/2006/relationships/hyperlink" Target="http://repo.poltekbangsby.ac.id/12/1/Flight%20Dynamics%20Principles%2C%20Second%20Edition%20A%20Linear%20Systems%20Approach%20to%20Aircraft%20Stability%20and%20Control%20by%20Michael%20V.%20Cook%20%28z-lib.org%29.pdf" TargetMode="External"/><Relationship Id="rId79" Type="http://schemas.openxmlformats.org/officeDocument/2006/relationships/hyperlink" Target="https://www.tandfonline.com/doi/full/10.1080/23322039.2024.2449194" TargetMode="External"/><Relationship Id="rId78" Type="http://schemas.openxmlformats.org/officeDocument/2006/relationships/hyperlink" Target="https://www.researchgate.net/publication/382271207_Adaptive_Money_Market_Interest_Rate_Strategy_Utilizing_Control_Theory" TargetMode="External"/><Relationship Id="rId71" Type="http://schemas.openxmlformats.org/officeDocument/2006/relationships/hyperlink" Target="https://www.tandfonline.com/doi/full/10.1080/13669877.2019.1646312" TargetMode="External"/><Relationship Id="rId70" Type="http://schemas.openxmlformats.org/officeDocument/2006/relationships/hyperlink" Target="https://univda.iris.cineca.it/retrieve/06ab69bf-228d-4bdd-9c39-e757ec15034f/Ferrara%20et%20al%20Q%26Q.%202024.pdf" TargetMode="External"/><Relationship Id="rId62" Type="http://schemas.openxmlformats.org/officeDocument/2006/relationships/hyperlink" Target="https://www.researchgate.net/publication/366685724_Risk_Contagion_Among_Financial_Players_Modelled_by_a_SIR_Model_with_Time_Delay" TargetMode="External"/><Relationship Id="rId61" Type="http://schemas.openxmlformats.org/officeDocument/2006/relationships/hyperlink" Target="https://pmc.ncbi.nlm.nih.gov/articles/PMC9141002/" TargetMode="External"/><Relationship Id="rId64" Type="http://schemas.openxmlformats.org/officeDocument/2006/relationships/hyperlink" Target="https://www.econstor.eu/bitstream/10419/212259/1/bof-rdp2013-019.pdf" TargetMode="External"/><Relationship Id="rId63" Type="http://schemas.openxmlformats.org/officeDocument/2006/relationships/hyperlink" Target="https://www.atlantis-press.com/article/126016334.pdf" TargetMode="External"/><Relationship Id="rId66" Type="http://schemas.openxmlformats.org/officeDocument/2006/relationships/hyperlink" Target="https://www.aimspress.com/article/doi/10.3934/Math.2019.1.86?viewType=HTML" TargetMode="External"/><Relationship Id="rId65" Type="http://schemas.openxmlformats.org/officeDocument/2006/relationships/hyperlink" Target="https://www.mdpi.com/2673-9909/5/1/20" TargetMode="External"/><Relationship Id="rId68" Type="http://schemas.openxmlformats.org/officeDocument/2006/relationships/hyperlink" Target="https://www.emerald.com/ijhma/article/12/1/74/121088/Epidemiological-spreading-of-mortgage-default" TargetMode="External"/><Relationship Id="rId67" Type="http://schemas.openxmlformats.org/officeDocument/2006/relationships/hyperlink" Target="https://www.nber.org/system/files/working_papers/w27191/revisions/w27191.rev3.pdf" TargetMode="External"/><Relationship Id="rId60" Type="http://schemas.openxmlformats.org/officeDocument/2006/relationships/hyperlink" Target="https://arxiv.org/html/2511.10018v1" TargetMode="External"/><Relationship Id="rId69" Type="http://schemas.openxmlformats.org/officeDocument/2006/relationships/hyperlink" Target="https://www.ecb.europa.eu/pub/pdf/scpwps/ecb.wp2432~b0044d8485.en.pdf" TargetMode="External"/><Relationship Id="rId51" Type="http://schemas.openxmlformats.org/officeDocument/2006/relationships/hyperlink" Target="https://jbusemey.pages.iu.edu/quantum/CatDec2016.pdf" TargetMode="External"/><Relationship Id="rId50" Type="http://schemas.openxmlformats.org/officeDocument/2006/relationships/hyperlink" Target="https://www.biorxiv.org/content/10.1101/2025.03.22.644643v1.full-text" TargetMode="External"/><Relationship Id="rId53" Type="http://schemas.openxmlformats.org/officeDocument/2006/relationships/hyperlink" Target="https://www.daytrading.com/quantum-economics" TargetMode="External"/><Relationship Id="rId52" Type="http://schemas.openxmlformats.org/officeDocument/2006/relationships/hyperlink" Target="https://computationaldecisionlab.com/2025/05/28/learn-about-research-in-the-lab-quantum-cognition-characterizing-human-behavior-as-quantum-like/" TargetMode="External"/><Relationship Id="rId55" Type="http://schemas.openxmlformats.org/officeDocument/2006/relationships/hyperlink" Target="https://www.soa.org/digital-publishing-platform/emerging-topics/et-2023-10-chen/" TargetMode="External"/><Relationship Id="rId54" Type="http://schemas.openxmlformats.org/officeDocument/2006/relationships/hyperlink" Target="https://www.mdpi.com/2504-2289/9/1/12" TargetMode="External"/><Relationship Id="rId57" Type="http://schemas.openxmlformats.org/officeDocument/2006/relationships/hyperlink" Target="https://pmc.ncbi.nlm.nih.gov/articles/PMC12939754/" TargetMode="External"/><Relationship Id="rId56" Type="http://schemas.openxmlformats.org/officeDocument/2006/relationships/hyperlink" Target="https://ijarsct.co.in/Paper23352.pdf" TargetMode="External"/><Relationship Id="rId59" Type="http://schemas.openxmlformats.org/officeDocument/2006/relationships/hyperlink" Target="https://www.frontiersin.org/journals/psychology/articles/10.3389/fpsyg.2026.1664747/full" TargetMode="External"/><Relationship Id="rId58" Type="http://schemas.openxmlformats.org/officeDocument/2006/relationships/hyperlink" Target="https://www.mdpi.com/2073-8994/17/7/1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