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882" w:tblpY="520"/>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2070"/>
        <w:gridCol w:w="7650"/>
      </w:tblGrid>
      <w:tr w:rsidR="0002357D" w14:paraId="1CD82723" w14:textId="2B6224AF" w:rsidTr="00011976">
        <w:tblPrEx>
          <w:tblCellMar>
            <w:top w:w="0" w:type="dxa"/>
            <w:bottom w:w="0" w:type="dxa"/>
          </w:tblCellMar>
        </w:tblPrEx>
        <w:trPr>
          <w:trHeight w:val="393"/>
        </w:trPr>
        <w:tc>
          <w:tcPr>
            <w:tcW w:w="1728" w:type="dxa"/>
          </w:tcPr>
          <w:p w14:paraId="2E736AE2" w14:textId="3726EAEF" w:rsidR="0002357D" w:rsidRPr="0002357D" w:rsidRDefault="0002357D" w:rsidP="00982EC4">
            <w:pPr>
              <w:rPr>
                <w:b/>
                <w:bCs/>
              </w:rPr>
            </w:pPr>
            <w:r>
              <w:rPr>
                <w:b/>
                <w:bCs/>
              </w:rPr>
              <w:t>AWS SERVICE</w:t>
            </w:r>
          </w:p>
        </w:tc>
        <w:tc>
          <w:tcPr>
            <w:tcW w:w="2070" w:type="dxa"/>
            <w:shd w:val="clear" w:color="auto" w:fill="auto"/>
          </w:tcPr>
          <w:p w14:paraId="29104241" w14:textId="697E8E53" w:rsidR="0002357D" w:rsidRPr="0002357D" w:rsidRDefault="0002357D" w:rsidP="00982EC4">
            <w:pPr>
              <w:rPr>
                <w:b/>
                <w:bCs/>
              </w:rPr>
            </w:pPr>
            <w:r>
              <w:rPr>
                <w:b/>
                <w:bCs/>
              </w:rPr>
              <w:t>AZURE SERVICE</w:t>
            </w:r>
          </w:p>
        </w:tc>
        <w:tc>
          <w:tcPr>
            <w:tcW w:w="7650" w:type="dxa"/>
            <w:shd w:val="clear" w:color="auto" w:fill="auto"/>
          </w:tcPr>
          <w:p w14:paraId="12E65324" w14:textId="0B007B54" w:rsidR="0002357D" w:rsidRPr="0002357D" w:rsidRDefault="0002357D" w:rsidP="00982EC4">
            <w:pPr>
              <w:rPr>
                <w:b/>
                <w:bCs/>
              </w:rPr>
            </w:pPr>
            <w:r>
              <w:rPr>
                <w:b/>
                <w:bCs/>
              </w:rPr>
              <w:t>Description by Azure</w:t>
            </w:r>
          </w:p>
        </w:tc>
      </w:tr>
      <w:tr w:rsidR="0002357D" w14:paraId="3817238F" w14:textId="77777777" w:rsidTr="00011976">
        <w:tblPrEx>
          <w:tblCellMar>
            <w:top w:w="0" w:type="dxa"/>
            <w:bottom w:w="0" w:type="dxa"/>
          </w:tblCellMar>
        </w:tblPrEx>
        <w:trPr>
          <w:trHeight w:val="1199"/>
        </w:trPr>
        <w:tc>
          <w:tcPr>
            <w:tcW w:w="1728" w:type="dxa"/>
          </w:tcPr>
          <w:p w14:paraId="76E3F3B8" w14:textId="77777777" w:rsidR="0002357D" w:rsidRDefault="0002357D" w:rsidP="00982EC4">
            <w:r>
              <w:t>Amazon Aurora</w:t>
            </w:r>
          </w:p>
          <w:p w14:paraId="24EBFC33" w14:textId="55022973" w:rsidR="0002357D" w:rsidRPr="0002357D" w:rsidRDefault="0002357D" w:rsidP="00982EC4">
            <w:r>
              <w:t>(DD Readers/ Writer)</w:t>
            </w:r>
          </w:p>
        </w:tc>
        <w:tc>
          <w:tcPr>
            <w:tcW w:w="2070" w:type="dxa"/>
            <w:shd w:val="clear" w:color="auto" w:fill="auto"/>
          </w:tcPr>
          <w:p w14:paraId="0C36F278" w14:textId="0EDD31A8" w:rsidR="0002357D" w:rsidRPr="0002357D" w:rsidRDefault="0002357D" w:rsidP="00982EC4">
            <w:r w:rsidRPr="0002357D">
              <w:t>Aure Database</w:t>
            </w:r>
            <w:r>
              <w:t xml:space="preserve"> for PostgreSQL</w:t>
            </w:r>
          </w:p>
        </w:tc>
        <w:tc>
          <w:tcPr>
            <w:tcW w:w="7650" w:type="dxa"/>
            <w:shd w:val="clear" w:color="auto" w:fill="auto"/>
          </w:tcPr>
          <w:p w14:paraId="33009314" w14:textId="794EA411" w:rsidR="0002357D" w:rsidRDefault="00982EC4" w:rsidP="00982EC4">
            <w:r>
              <w:t>Flexible Server is a fully managed database service designed to provide more granular control and flexibility over database management functions and configuration settings. The service generally provides more flexibility and server configuration customize based on user requirements. The flexib</w:t>
            </w:r>
            <w:r w:rsidR="00510F03">
              <w:t xml:space="preserve">le </w:t>
            </w:r>
            <w:r w:rsidR="00452EF6">
              <w:t xml:space="preserve">server architecture allows users to collocate the database engine with the client tier for lower latency and choose high availability within a single available zone and across multiple availability zones. Flexible servers also provide better cost optimization controls with the ability to stop/start </w:t>
            </w:r>
            <w:proofErr w:type="gramStart"/>
            <w:r w:rsidR="00452EF6">
              <w:t>your</w:t>
            </w:r>
            <w:proofErr w:type="gramEnd"/>
            <w:r w:rsidR="00452EF6">
              <w:t xml:space="preserve"> sever and burstable compute tier ideal for workloads that work</w:t>
            </w:r>
            <w:r w:rsidR="0068710A">
              <w:t>loads that don’t need full compute capacity continuously</w:t>
            </w:r>
            <w:r w:rsidR="00452EF6">
              <w:t xml:space="preserve"> </w:t>
            </w:r>
          </w:p>
        </w:tc>
      </w:tr>
      <w:tr w:rsidR="0002357D" w14:paraId="0199FA28" w14:textId="77777777" w:rsidTr="00011976">
        <w:tblPrEx>
          <w:tblCellMar>
            <w:top w:w="0" w:type="dxa"/>
            <w:bottom w:w="0" w:type="dxa"/>
          </w:tblCellMar>
        </w:tblPrEx>
        <w:trPr>
          <w:trHeight w:val="1199"/>
        </w:trPr>
        <w:tc>
          <w:tcPr>
            <w:tcW w:w="1728" w:type="dxa"/>
          </w:tcPr>
          <w:p w14:paraId="6ABBEEC0" w14:textId="611016CF" w:rsidR="0002357D" w:rsidRPr="0002357D" w:rsidRDefault="0002357D" w:rsidP="00982EC4">
            <w:r>
              <w:t>Amazon Cloud Watch</w:t>
            </w:r>
          </w:p>
        </w:tc>
        <w:tc>
          <w:tcPr>
            <w:tcW w:w="2070" w:type="dxa"/>
            <w:shd w:val="clear" w:color="auto" w:fill="auto"/>
          </w:tcPr>
          <w:p w14:paraId="46C338BB" w14:textId="26C7F5DD" w:rsidR="0002357D" w:rsidRPr="0002357D" w:rsidRDefault="0002357D" w:rsidP="00982EC4">
            <w:r>
              <w:t xml:space="preserve">Azure Monitor </w:t>
            </w:r>
          </w:p>
        </w:tc>
        <w:tc>
          <w:tcPr>
            <w:tcW w:w="7650" w:type="dxa"/>
            <w:shd w:val="clear" w:color="auto" w:fill="auto"/>
          </w:tcPr>
          <w:p w14:paraId="4A6436E0" w14:textId="1F1077F9" w:rsidR="0002357D" w:rsidRDefault="0068710A" w:rsidP="00982EC4">
            <w:r>
              <w:t xml:space="preserve">Azure Monitor is a comprehensive monitoring solution for collecting, analyzing, and </w:t>
            </w:r>
            <w:r w:rsidR="00011976">
              <w:t>responding</w:t>
            </w:r>
            <w:r>
              <w:t xml:space="preserve"> to monitoring data from your cloud and on-premises environments. You can use Azure Monitoring to maximize the availability and performance of your applications and services. It helps you understand how your applications are </w:t>
            </w:r>
            <w:proofErr w:type="spellStart"/>
            <w:r>
              <w:t>porming</w:t>
            </w:r>
            <w:proofErr w:type="spellEnd"/>
            <w:r>
              <w:t xml:space="preserve"> and allows you to manually and programmatically </w:t>
            </w:r>
            <w:proofErr w:type="gramStart"/>
            <w:r>
              <w:t>respond  to</w:t>
            </w:r>
            <w:proofErr w:type="gramEnd"/>
            <w:r>
              <w:t xml:space="preserve"> system events.</w:t>
            </w:r>
            <w:r w:rsidR="00011976">
              <w:t xml:space="preserve"> </w:t>
            </w:r>
            <w:r>
              <w:t xml:space="preserve">Azure Monitor collects and aggregate date data from every layer and component of your system across multiple Azure and non-Azure subscriptions and tenants. It stores it in a common data platform for </w:t>
            </w:r>
            <w:r w:rsidR="00011976">
              <w:t>consumption</w:t>
            </w:r>
            <w:r>
              <w:t xml:space="preserve"> by a common set of tools which can correlate, analyze, visualize, and/or respond</w:t>
            </w:r>
            <w:r w:rsidR="00011976">
              <w:t xml:space="preserve"> to the data. You can also </w:t>
            </w:r>
            <w:proofErr w:type="spellStart"/>
            <w:r w:rsidR="00011976">
              <w:t>intergrate</w:t>
            </w:r>
            <w:proofErr w:type="spellEnd"/>
            <w:r w:rsidR="00011976">
              <w:t xml:space="preserve"> additional Microsoft and non-Microsoft tools.</w:t>
            </w:r>
          </w:p>
        </w:tc>
      </w:tr>
      <w:tr w:rsidR="0002357D" w14:paraId="209B1895" w14:textId="77777777" w:rsidTr="00011976">
        <w:tblPrEx>
          <w:tblCellMar>
            <w:top w:w="0" w:type="dxa"/>
            <w:bottom w:w="0" w:type="dxa"/>
          </w:tblCellMar>
        </w:tblPrEx>
        <w:trPr>
          <w:trHeight w:val="1199"/>
        </w:trPr>
        <w:tc>
          <w:tcPr>
            <w:tcW w:w="1728" w:type="dxa"/>
          </w:tcPr>
          <w:p w14:paraId="0B1E8EA6" w14:textId="626C06EA" w:rsidR="00784E2F" w:rsidRPr="00784E2F" w:rsidRDefault="00784E2F" w:rsidP="00982EC4">
            <w:r>
              <w:t>Amazon SNS</w:t>
            </w:r>
          </w:p>
        </w:tc>
        <w:tc>
          <w:tcPr>
            <w:tcW w:w="2070" w:type="dxa"/>
            <w:shd w:val="clear" w:color="auto" w:fill="auto"/>
          </w:tcPr>
          <w:p w14:paraId="2E534009" w14:textId="0353B01C" w:rsidR="0002357D" w:rsidRPr="00784E2F" w:rsidRDefault="00784E2F" w:rsidP="00982EC4">
            <w:r w:rsidRPr="00784E2F">
              <w:t>Azure Service Bus</w:t>
            </w:r>
          </w:p>
        </w:tc>
        <w:tc>
          <w:tcPr>
            <w:tcW w:w="7650" w:type="dxa"/>
            <w:shd w:val="clear" w:color="auto" w:fill="auto"/>
          </w:tcPr>
          <w:p w14:paraId="4ACC746B" w14:textId="6EC7FB44" w:rsidR="0002357D" w:rsidRDefault="00510F03" w:rsidP="00982EC4">
            <w:r>
              <w:rPr>
                <w:rFonts w:ascii="Segoe UI" w:hAnsi="Segoe UI" w:cs="Segoe UI"/>
                <w:color w:val="161616"/>
                <w:sz w:val="21"/>
                <w:szCs w:val="21"/>
                <w:shd w:val="clear" w:color="auto" w:fill="FFFFFF"/>
              </w:rPr>
              <w:t>Supports a set of cloud-based, message-oriented middleware technologies, including reliable message queuing and durable publish/subscribe messaging.</w:t>
            </w:r>
          </w:p>
        </w:tc>
      </w:tr>
      <w:tr w:rsidR="0002357D" w14:paraId="4B8D608F" w14:textId="77777777" w:rsidTr="00011976">
        <w:tblPrEx>
          <w:tblCellMar>
            <w:top w:w="0" w:type="dxa"/>
            <w:bottom w:w="0" w:type="dxa"/>
          </w:tblCellMar>
        </w:tblPrEx>
        <w:trPr>
          <w:trHeight w:val="1199"/>
        </w:trPr>
        <w:tc>
          <w:tcPr>
            <w:tcW w:w="1728" w:type="dxa"/>
          </w:tcPr>
          <w:p w14:paraId="790AD6E7" w14:textId="2A922DB6" w:rsidR="0002357D" w:rsidRPr="00784E2F" w:rsidRDefault="00784E2F" w:rsidP="00982EC4">
            <w:r>
              <w:t>Auto Scaling Group</w:t>
            </w:r>
          </w:p>
        </w:tc>
        <w:tc>
          <w:tcPr>
            <w:tcW w:w="2070" w:type="dxa"/>
            <w:shd w:val="clear" w:color="auto" w:fill="auto"/>
          </w:tcPr>
          <w:p w14:paraId="2FE366C3" w14:textId="2CA78C76" w:rsidR="0002357D" w:rsidRPr="00784E2F" w:rsidRDefault="00784E2F" w:rsidP="00982EC4">
            <w:r w:rsidRPr="00784E2F">
              <w:t>Virtual Machine Scale Set</w:t>
            </w:r>
          </w:p>
        </w:tc>
        <w:tc>
          <w:tcPr>
            <w:tcW w:w="7650" w:type="dxa"/>
            <w:shd w:val="clear" w:color="auto" w:fill="auto"/>
          </w:tcPr>
          <w:p w14:paraId="41EA10A5" w14:textId="1CF607C6" w:rsidR="0002357D" w:rsidRDefault="00982EC4" w:rsidP="00982EC4">
            <w:r>
              <w:rPr>
                <w:rFonts w:ascii="Segoe UI" w:hAnsi="Segoe UI" w:cs="Segoe UI"/>
                <w:color w:val="161616"/>
                <w:sz w:val="21"/>
                <w:szCs w:val="21"/>
                <w:shd w:val="clear" w:color="auto" w:fill="FFFFFF"/>
              </w:rPr>
              <w:t xml:space="preserve">In Azure, virtual machine scale sets let you deploy and manage identical sets of VMs. The number of sets can </w:t>
            </w:r>
            <w:proofErr w:type="spellStart"/>
            <w:r>
              <w:rPr>
                <w:rFonts w:ascii="Segoe UI" w:hAnsi="Segoe UI" w:cs="Segoe UI"/>
                <w:color w:val="161616"/>
                <w:sz w:val="21"/>
                <w:szCs w:val="21"/>
                <w:shd w:val="clear" w:color="auto" w:fill="FFFFFF"/>
              </w:rPr>
              <w:t>autoscale</w:t>
            </w:r>
            <w:proofErr w:type="spellEnd"/>
            <w:r>
              <w:rPr>
                <w:rFonts w:ascii="Segoe UI" w:hAnsi="Segoe UI" w:cs="Segoe UI"/>
                <w:color w:val="161616"/>
                <w:sz w:val="21"/>
                <w:szCs w:val="21"/>
                <w:shd w:val="clear" w:color="auto" w:fill="FFFFFF"/>
              </w:rPr>
              <w:t xml:space="preserve">. App Service </w:t>
            </w:r>
            <w:proofErr w:type="spellStart"/>
            <w:r>
              <w:rPr>
                <w:rFonts w:ascii="Segoe UI" w:hAnsi="Segoe UI" w:cs="Segoe UI"/>
                <w:color w:val="161616"/>
                <w:sz w:val="21"/>
                <w:szCs w:val="21"/>
                <w:shd w:val="clear" w:color="auto" w:fill="FFFFFF"/>
              </w:rPr>
              <w:t>autoscale</w:t>
            </w:r>
            <w:proofErr w:type="spellEnd"/>
            <w:r>
              <w:rPr>
                <w:rFonts w:ascii="Segoe UI" w:hAnsi="Segoe UI" w:cs="Segoe UI"/>
                <w:color w:val="161616"/>
                <w:sz w:val="21"/>
                <w:szCs w:val="21"/>
                <w:shd w:val="clear" w:color="auto" w:fill="FFFFFF"/>
              </w:rPr>
              <w:t xml:space="preserve"> lets you </w:t>
            </w:r>
            <w:proofErr w:type="spellStart"/>
            <w:r>
              <w:rPr>
                <w:rFonts w:ascii="Segoe UI" w:hAnsi="Segoe UI" w:cs="Segoe UI"/>
                <w:color w:val="161616"/>
                <w:sz w:val="21"/>
                <w:szCs w:val="21"/>
                <w:shd w:val="clear" w:color="auto" w:fill="FFFFFF"/>
              </w:rPr>
              <w:t>autoscale</w:t>
            </w:r>
            <w:proofErr w:type="spellEnd"/>
            <w:r>
              <w:rPr>
                <w:rFonts w:ascii="Segoe UI" w:hAnsi="Segoe UI" w:cs="Segoe UI"/>
                <w:color w:val="161616"/>
                <w:sz w:val="21"/>
                <w:szCs w:val="21"/>
                <w:shd w:val="clear" w:color="auto" w:fill="FFFFFF"/>
              </w:rPr>
              <w:t xml:space="preserve"> Azure App Service applications</w:t>
            </w:r>
          </w:p>
        </w:tc>
      </w:tr>
      <w:tr w:rsidR="0002357D" w14:paraId="31E4101D" w14:textId="77777777" w:rsidTr="00011976">
        <w:tblPrEx>
          <w:tblCellMar>
            <w:top w:w="0" w:type="dxa"/>
            <w:bottom w:w="0" w:type="dxa"/>
          </w:tblCellMar>
        </w:tblPrEx>
        <w:trPr>
          <w:trHeight w:val="1199"/>
        </w:trPr>
        <w:tc>
          <w:tcPr>
            <w:tcW w:w="1728" w:type="dxa"/>
          </w:tcPr>
          <w:p w14:paraId="09BE26E5" w14:textId="43A8BAEF" w:rsidR="0002357D" w:rsidRPr="00784E2F" w:rsidRDefault="00784E2F" w:rsidP="00982EC4">
            <w:r w:rsidRPr="00784E2F">
              <w:t>Availability Zone</w:t>
            </w:r>
          </w:p>
        </w:tc>
        <w:tc>
          <w:tcPr>
            <w:tcW w:w="2070" w:type="dxa"/>
            <w:shd w:val="clear" w:color="auto" w:fill="auto"/>
          </w:tcPr>
          <w:p w14:paraId="5EE6C39B" w14:textId="2D3DA786" w:rsidR="0002357D" w:rsidRDefault="00784E2F" w:rsidP="00982EC4">
            <w:pPr>
              <w:rPr>
                <w:b/>
                <w:bCs/>
              </w:rPr>
            </w:pPr>
            <w:r w:rsidRPr="00784E2F">
              <w:t>Availability Zone</w:t>
            </w:r>
          </w:p>
        </w:tc>
        <w:tc>
          <w:tcPr>
            <w:tcW w:w="7650" w:type="dxa"/>
            <w:shd w:val="clear" w:color="auto" w:fill="auto"/>
          </w:tcPr>
          <w:p w14:paraId="55EAF5C9" w14:textId="597F3B2E" w:rsidR="0002357D" w:rsidRDefault="00982EC4" w:rsidP="00982EC4">
            <w:r>
              <w:rPr>
                <w:rFonts w:ascii="Segoe UI" w:hAnsi="Segoe UI" w:cs="Segoe UI"/>
                <w:color w:val="161616"/>
                <w:shd w:val="clear" w:color="auto" w:fill="FFFFFF"/>
              </w:rPr>
              <w:t>An </w:t>
            </w:r>
            <w:hyperlink r:id="rId6" w:history="1">
              <w:r>
                <w:rPr>
                  <w:rStyle w:val="Hyperlink"/>
                  <w:rFonts w:ascii="Segoe UI" w:hAnsi="Segoe UI" w:cs="Segoe UI"/>
                  <w:shd w:val="clear" w:color="auto" w:fill="FFFFFF"/>
                </w:rPr>
                <w:t>Availability Zone</w:t>
              </w:r>
            </w:hyperlink>
            <w:r>
              <w:rPr>
                <w:rFonts w:ascii="Segoe UI" w:hAnsi="Segoe UI" w:cs="Segoe UI"/>
                <w:color w:val="161616"/>
                <w:shd w:val="clear" w:color="auto" w:fill="FFFFFF"/>
              </w:rPr>
              <w:t> is a physically separate zone within an Azure region. Each Availability Zone has a distinct power source, network, and cooling. Deploying VMs across availability zones helps to protect an application against datacenter-wide failures.</w:t>
            </w:r>
          </w:p>
        </w:tc>
      </w:tr>
      <w:tr w:rsidR="0002357D" w14:paraId="0F14ABFA" w14:textId="77777777" w:rsidTr="00011976">
        <w:tblPrEx>
          <w:tblCellMar>
            <w:top w:w="0" w:type="dxa"/>
            <w:bottom w:w="0" w:type="dxa"/>
          </w:tblCellMar>
        </w:tblPrEx>
        <w:trPr>
          <w:trHeight w:val="1199"/>
        </w:trPr>
        <w:tc>
          <w:tcPr>
            <w:tcW w:w="1728" w:type="dxa"/>
          </w:tcPr>
          <w:p w14:paraId="154AF830" w14:textId="3347CBFA" w:rsidR="0002357D" w:rsidRPr="00784E2F" w:rsidRDefault="00784E2F" w:rsidP="00982EC4">
            <w:r w:rsidRPr="00784E2F">
              <w:t>Bastion Host</w:t>
            </w:r>
          </w:p>
        </w:tc>
        <w:tc>
          <w:tcPr>
            <w:tcW w:w="2070" w:type="dxa"/>
            <w:shd w:val="clear" w:color="auto" w:fill="auto"/>
          </w:tcPr>
          <w:p w14:paraId="78200022" w14:textId="3A65979B" w:rsidR="0002357D" w:rsidRPr="00784E2F" w:rsidRDefault="00784E2F" w:rsidP="00982EC4">
            <w:r>
              <w:t>Azure Bastion</w:t>
            </w:r>
          </w:p>
        </w:tc>
        <w:tc>
          <w:tcPr>
            <w:tcW w:w="7650" w:type="dxa"/>
            <w:shd w:val="clear" w:color="auto" w:fill="auto"/>
          </w:tcPr>
          <w:p w14:paraId="7EB2091D" w14:textId="3913B8DC" w:rsidR="0002357D" w:rsidRDefault="00011976" w:rsidP="00982EC4">
            <w:r>
              <w:rPr>
                <w:rFonts w:ascii="Segoe UI" w:hAnsi="Segoe UI" w:cs="Segoe UI"/>
                <w:color w:val="374151"/>
                <w:shd w:val="clear" w:color="auto" w:fill="F7F7F8"/>
              </w:rPr>
              <w:t>Azure Bastion is a service that allows secure and seamless remote access to virtual machines (VMs) within an Azure Virtual Network. It acts as a jump server, simplifying the process of connecting to your VMs over Remote Desktop Protocol (RDP) or Secure Shell (SSH) without the need for a public IP address on the VMs themselves. This enhances the security of your VMs by reducing exposure to the public internet.</w:t>
            </w:r>
          </w:p>
        </w:tc>
      </w:tr>
      <w:tr w:rsidR="0002357D" w14:paraId="786C494F" w14:textId="77777777" w:rsidTr="00011976">
        <w:tblPrEx>
          <w:tblCellMar>
            <w:top w:w="0" w:type="dxa"/>
            <w:bottom w:w="0" w:type="dxa"/>
          </w:tblCellMar>
        </w:tblPrEx>
        <w:trPr>
          <w:trHeight w:val="1199"/>
        </w:trPr>
        <w:tc>
          <w:tcPr>
            <w:tcW w:w="1728" w:type="dxa"/>
          </w:tcPr>
          <w:p w14:paraId="271654D6" w14:textId="2F0DC8BB" w:rsidR="0002357D" w:rsidRDefault="00581DF9" w:rsidP="00982EC4">
            <w:pPr>
              <w:rPr>
                <w:b/>
                <w:bCs/>
              </w:rPr>
            </w:pPr>
            <w:r>
              <w:lastRenderedPageBreak/>
              <w:t xml:space="preserve">Virtual </w:t>
            </w:r>
            <w:proofErr w:type="spellStart"/>
            <w:r>
              <w:t>Privite</w:t>
            </w:r>
            <w:proofErr w:type="spellEnd"/>
            <w:r>
              <w:t xml:space="preserve"> Cloud (VPC)</w:t>
            </w:r>
          </w:p>
        </w:tc>
        <w:tc>
          <w:tcPr>
            <w:tcW w:w="2070" w:type="dxa"/>
            <w:shd w:val="clear" w:color="auto" w:fill="auto"/>
          </w:tcPr>
          <w:p w14:paraId="1EC1665E" w14:textId="3BF1A736" w:rsidR="0002357D" w:rsidRPr="00581DF9" w:rsidRDefault="00581DF9" w:rsidP="00982EC4">
            <w:r w:rsidRPr="00581DF9">
              <w:t>Virtual Network</w:t>
            </w:r>
          </w:p>
        </w:tc>
        <w:tc>
          <w:tcPr>
            <w:tcW w:w="7650" w:type="dxa"/>
            <w:shd w:val="clear" w:color="auto" w:fill="auto"/>
          </w:tcPr>
          <w:p w14:paraId="7C80E8B4" w14:textId="0D2F06F5" w:rsidR="0002357D" w:rsidRDefault="00581DF9" w:rsidP="00982EC4">
            <w:r>
              <w:rPr>
                <w:rFonts w:ascii="Segoe UI" w:hAnsi="Segoe UI" w:cs="Segoe UI"/>
                <w:color w:val="161616"/>
                <w:sz w:val="21"/>
                <w:szCs w:val="21"/>
                <w:shd w:val="clear" w:color="auto" w:fill="FFFFFF"/>
              </w:rPr>
              <w:t>Provides an isolated, private environment in the cloud. Users have control over their virtual networking environment, including selection of their own IP address range, creation of subnets, and configuration of route tables and network gateways.</w:t>
            </w:r>
          </w:p>
        </w:tc>
      </w:tr>
      <w:tr w:rsidR="0002357D" w14:paraId="5DB294F7" w14:textId="77777777" w:rsidTr="00011976">
        <w:tblPrEx>
          <w:tblCellMar>
            <w:top w:w="0" w:type="dxa"/>
            <w:bottom w:w="0" w:type="dxa"/>
          </w:tblCellMar>
        </w:tblPrEx>
        <w:trPr>
          <w:trHeight w:val="1199"/>
        </w:trPr>
        <w:tc>
          <w:tcPr>
            <w:tcW w:w="1728" w:type="dxa"/>
          </w:tcPr>
          <w:p w14:paraId="6D4548B8" w14:textId="7A09FB71" w:rsidR="0002357D" w:rsidRPr="00581DF9" w:rsidRDefault="00581DF9" w:rsidP="00982EC4">
            <w:r w:rsidRPr="00581DF9">
              <w:t>NAT Gateways</w:t>
            </w:r>
          </w:p>
        </w:tc>
        <w:tc>
          <w:tcPr>
            <w:tcW w:w="2070" w:type="dxa"/>
            <w:shd w:val="clear" w:color="auto" w:fill="auto"/>
          </w:tcPr>
          <w:p w14:paraId="16039FC6" w14:textId="28532179" w:rsidR="0002357D" w:rsidRPr="00581DF9" w:rsidRDefault="00581DF9" w:rsidP="00982EC4">
            <w:r>
              <w:t>Virtual Network NAT</w:t>
            </w:r>
          </w:p>
        </w:tc>
        <w:tc>
          <w:tcPr>
            <w:tcW w:w="7650" w:type="dxa"/>
            <w:shd w:val="clear" w:color="auto" w:fill="auto"/>
          </w:tcPr>
          <w:p w14:paraId="24153C2F" w14:textId="2C214481" w:rsidR="0002357D" w:rsidRDefault="00581DF9" w:rsidP="00982EC4">
            <w:r>
              <w:rPr>
                <w:rFonts w:ascii="Segoe UI" w:hAnsi="Segoe UI" w:cs="Segoe UI"/>
                <w:color w:val="161616"/>
                <w:sz w:val="21"/>
                <w:szCs w:val="21"/>
                <w:shd w:val="clear" w:color="auto" w:fill="FFFFFF"/>
              </w:rPr>
              <w:t>A service that simplifies outbound-only Internet connectivity for virtual networks. When configured on a subnet, all outbound connectivity uses your specified static public IP addresses. Outbound connectivity is possible without a load balancer or public IP addresses directly attached to virtual machines.</w:t>
            </w:r>
          </w:p>
        </w:tc>
      </w:tr>
      <w:tr w:rsidR="0002357D" w14:paraId="5E4B171A" w14:textId="77777777" w:rsidTr="00011976">
        <w:tblPrEx>
          <w:tblCellMar>
            <w:top w:w="0" w:type="dxa"/>
            <w:bottom w:w="0" w:type="dxa"/>
          </w:tblCellMar>
        </w:tblPrEx>
        <w:trPr>
          <w:trHeight w:val="1199"/>
        </w:trPr>
        <w:tc>
          <w:tcPr>
            <w:tcW w:w="1728" w:type="dxa"/>
          </w:tcPr>
          <w:p w14:paraId="2709A2EC" w14:textId="7FBD96DC" w:rsidR="0002357D" w:rsidRPr="00581DF9" w:rsidRDefault="00581DF9" w:rsidP="00982EC4">
            <w:r w:rsidRPr="00581DF9">
              <w:t>KMS Key</w:t>
            </w:r>
          </w:p>
        </w:tc>
        <w:tc>
          <w:tcPr>
            <w:tcW w:w="2070" w:type="dxa"/>
            <w:shd w:val="clear" w:color="auto" w:fill="auto"/>
          </w:tcPr>
          <w:p w14:paraId="37BBED62" w14:textId="1DAA3626" w:rsidR="0002357D" w:rsidRPr="00581DF9" w:rsidRDefault="00581DF9" w:rsidP="00982EC4">
            <w:r>
              <w:t>Azure Key Vault</w:t>
            </w:r>
          </w:p>
        </w:tc>
        <w:tc>
          <w:tcPr>
            <w:tcW w:w="7650" w:type="dxa"/>
            <w:shd w:val="clear" w:color="auto" w:fill="auto"/>
          </w:tcPr>
          <w:p w14:paraId="3F8EA48A" w14:textId="5A87E890" w:rsidR="0002357D" w:rsidRDefault="00011976" w:rsidP="00982EC4">
            <w:r>
              <w:rPr>
                <w:rFonts w:ascii="Segoe UI" w:hAnsi="Segoe UI" w:cs="Segoe UI"/>
                <w:color w:val="374151"/>
                <w:shd w:val="clear" w:color="auto" w:fill="F7F7F8"/>
              </w:rPr>
              <w:t>Azure Key Vault is a cloud service that provides a secure and centrally managed way to safeguard cryptographic keys, secrets, and certificates used by cloud applications and services. It helps organizations protect sensitive information such as encryption keys, connection strings, passwords, and other secrets.</w:t>
            </w:r>
          </w:p>
        </w:tc>
      </w:tr>
    </w:tbl>
    <w:p w14:paraId="7371E87B" w14:textId="77777777" w:rsidR="006E5BDB" w:rsidRDefault="006E5BDB"/>
    <w:sectPr w:rsidR="006E5BD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3AF18" w14:textId="77777777" w:rsidR="00012535" w:rsidRDefault="00012535" w:rsidP="006B7412">
      <w:pPr>
        <w:spacing w:after="0" w:line="240" w:lineRule="auto"/>
      </w:pPr>
      <w:r>
        <w:separator/>
      </w:r>
    </w:p>
  </w:endnote>
  <w:endnote w:type="continuationSeparator" w:id="0">
    <w:p w14:paraId="779C36E6" w14:textId="77777777" w:rsidR="00012535" w:rsidRDefault="00012535" w:rsidP="006B7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7AE93" w14:textId="77777777" w:rsidR="00012535" w:rsidRDefault="00012535" w:rsidP="006B7412">
      <w:pPr>
        <w:spacing w:after="0" w:line="240" w:lineRule="auto"/>
      </w:pPr>
      <w:r>
        <w:separator/>
      </w:r>
    </w:p>
  </w:footnote>
  <w:footnote w:type="continuationSeparator" w:id="0">
    <w:p w14:paraId="131A54E3" w14:textId="77777777" w:rsidR="00012535" w:rsidRDefault="00012535" w:rsidP="006B74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48F3B" w14:textId="10C4E0CB" w:rsidR="00581DF9" w:rsidRDefault="00581DF9" w:rsidP="00202D82">
    <w:pPr>
      <w:pStyle w:val="Header"/>
      <w:ind w:left="5760"/>
      <w:rPr>
        <w:sz w:val="20"/>
        <w:szCs w:val="20"/>
      </w:rPr>
    </w:pPr>
    <w:r>
      <w:rPr>
        <w:sz w:val="20"/>
        <w:szCs w:val="20"/>
      </w:rPr>
      <w:t>Dickson Diabour</w:t>
    </w:r>
  </w:p>
  <w:p w14:paraId="4B72A12B" w14:textId="271D3AC6" w:rsidR="00202D82" w:rsidRDefault="006B7412" w:rsidP="00202D82">
    <w:pPr>
      <w:pStyle w:val="Header"/>
      <w:ind w:left="5760"/>
      <w:rPr>
        <w:sz w:val="20"/>
        <w:szCs w:val="20"/>
      </w:rPr>
    </w:pPr>
    <w:r w:rsidRPr="00202D82">
      <w:rPr>
        <w:sz w:val="20"/>
        <w:szCs w:val="20"/>
      </w:rPr>
      <w:t>Cloud Engineering</w:t>
    </w:r>
    <w:r>
      <w:rPr>
        <w:sz w:val="28"/>
        <w:szCs w:val="28"/>
      </w:rPr>
      <w:t>-</w:t>
    </w:r>
    <w:r w:rsidRPr="00202D82">
      <w:rPr>
        <w:sz w:val="20"/>
        <w:szCs w:val="20"/>
      </w:rPr>
      <w:t>October</w:t>
    </w:r>
    <w:r w:rsidR="00202D82" w:rsidRPr="00202D82">
      <w:rPr>
        <w:sz w:val="20"/>
        <w:szCs w:val="20"/>
      </w:rPr>
      <w:t xml:space="preserve"> 2023</w:t>
    </w:r>
    <w:r w:rsidR="00202D82">
      <w:rPr>
        <w:sz w:val="20"/>
        <w:szCs w:val="20"/>
      </w:rPr>
      <w:t xml:space="preserve"> </w:t>
    </w:r>
    <w:r w:rsidR="00202D82" w:rsidRPr="00202D82">
      <w:rPr>
        <w:sz w:val="20"/>
        <w:szCs w:val="20"/>
      </w:rPr>
      <w:t>cohort</w:t>
    </w:r>
    <w:r w:rsidR="00202D82">
      <w:rPr>
        <w:sz w:val="20"/>
        <w:szCs w:val="20"/>
      </w:rPr>
      <w:t xml:space="preserve">                                                      </w:t>
    </w:r>
    <w:r w:rsidR="00202D82" w:rsidRPr="00202D82">
      <w:rPr>
        <w:sz w:val="20"/>
        <w:szCs w:val="20"/>
      </w:rPr>
      <w:t>Divergence Academy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412"/>
    <w:rsid w:val="00011976"/>
    <w:rsid w:val="00012535"/>
    <w:rsid w:val="0002357D"/>
    <w:rsid w:val="00202D82"/>
    <w:rsid w:val="00452EF6"/>
    <w:rsid w:val="00510F03"/>
    <w:rsid w:val="00581DF9"/>
    <w:rsid w:val="0068710A"/>
    <w:rsid w:val="006B7412"/>
    <w:rsid w:val="006E5BDB"/>
    <w:rsid w:val="00784E2F"/>
    <w:rsid w:val="008D3971"/>
    <w:rsid w:val="00982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0E598"/>
  <w15:docId w15:val="{4127595E-2EA6-4C37-BE4F-51179E178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74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412"/>
  </w:style>
  <w:style w:type="paragraph" w:styleId="Footer">
    <w:name w:val="footer"/>
    <w:basedOn w:val="Normal"/>
    <w:link w:val="FooterChar"/>
    <w:uiPriority w:val="99"/>
    <w:unhideWhenUsed/>
    <w:rsid w:val="006B74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412"/>
  </w:style>
  <w:style w:type="character" w:styleId="Hyperlink">
    <w:name w:val="Hyperlink"/>
    <w:basedOn w:val="DefaultParagraphFont"/>
    <w:uiPriority w:val="99"/>
    <w:semiHidden/>
    <w:unhideWhenUsed/>
    <w:rsid w:val="00784E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rn.microsoft.com/en-us/azure/availability-zones/az-overview"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2</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Diabour Dickson</dc:creator>
  <cp:keywords/>
  <dc:description/>
  <cp:lastModifiedBy>Diabour Dickson</cp:lastModifiedBy>
  <cp:revision>1</cp:revision>
  <dcterms:created xsi:type="dcterms:W3CDTF">2023-11-09T02:44:00Z</dcterms:created>
  <dcterms:modified xsi:type="dcterms:W3CDTF">2023-11-09T05:42:00Z</dcterms:modified>
</cp:coreProperties>
</file>