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059"/>
        <w:gridCol w:w="2025"/>
        <w:gridCol w:w="2270"/>
        <w:gridCol w:w="2025"/>
        <w:gridCol w:w="2342"/>
        <w:gridCol w:w="2147"/>
        <w:gridCol w:w="4811"/>
        <w:gridCol w:w="2244"/>
      </w:tblGrid>
      <w:tr>
        <w:trPr>
          <w:trHeight w:val="420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By Study Design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By Addictive Behaviour</w:t>
            </w:r>
          </w:p>
        </w:tc>
      </w:tr>
      <w:tr>
        <w:trPr>
          <w:trHeight w:val="589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57)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Experimental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4)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Observational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44)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Qualitative / Mixed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9)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Alcohol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14)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Other (Cannabis, Opioids, Polysubstance)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18)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Tobacco/Nicotine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25)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Study Design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Experimental: JITAI/Microrandomised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</w:tr>
      <w:tr>
        <w:trPr>
          <w:trHeight w:val="58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Experimental: RCT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</w:tr>
      <w:tr>
        <w:trPr>
          <w:trHeight w:val="58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Mixed Methods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(12%)</w:t>
            </w:r>
          </w:p>
        </w:tc>
      </w:tr>
      <w:tr>
        <w:trPr>
          <w:trHeight w:val="58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Observational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 (77%)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(76%)</w:t>
            </w:r>
          </w:p>
        </w:tc>
      </w:tr>
      <w:tr>
        <w:trPr>
          <w:trHeight w:val="58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Qualitative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</w:tr>
      <w:tr>
        <w:trPr>
          <w:trHeight w:val="54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Addictive Behaviour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Alcohol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Cannabis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Gambling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Opioids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Polysubstance/Multiple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Tobacco/Nicotine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 (100%)</w:t>
            </w:r>
          </w:p>
        </w:tc>
      </w:tr>
      <w:tr>
        <w:trPr>
          <w:trHeight w:val="58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Canada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</w:tr>
      <w:tr>
        <w:trPr>
          <w:trHeight w:val="58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Germany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Switzerland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Uganda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(28%)</w:t>
            </w:r>
          </w:p>
        </w:tc>
      </w:tr>
      <w:tr>
        <w:trPr>
          <w:trHeight w:val="58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 (77%)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(68%)</w:t>
            </w:r>
          </w:p>
        </w:tc>
      </w:tr>
      <w:tr>
        <w:trPr>
          <w:trHeight w:val="575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58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Sample Size (Analytical)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33.0 (16.0, 90.0)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128.5 (28.0, 261.5)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42.0 (18.0, 91.0)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 (4.0, 20.0)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63.5 (28.0, 160.0)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31.5 (14.0, 57.0)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 (7.0, 90.0)</w:t>
            </w:r>
          </w:p>
        </w:tc>
      </w:tr>
      <w:tr>
        <w:trPr>
          <w:trHeight w:val="58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Study Duration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 (14.0, 42.0)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120.5 (43.5, 280.5)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 (14.0, 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36.5 (22.0, 119.0)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36.0 (28.0, 98.0)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30.0 (14.0, 98.5)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 (14.0, 34.5)</w:t>
            </w:r>
          </w:p>
        </w:tc>
      </w:tr>
      <w:tr>
        <w:trPr>
          <w:trHeight w:val="575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Study-Level Mean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35.5 (22.4, 41.3)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36.0 (30.1, 39.5)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 (21.0, 44.7)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37.7 (37.0, 39.0)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 (22.4, 33.9)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30.6 (19.6, 41.2)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41.0 (28.8, 49.1)</w:t>
            </w:r>
          </w:p>
        </w:tc>
      </w:tr>
      <w:tr>
        <w:trPr>
          <w:trHeight w:val="575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</w:t>
            </w:r>
          </w:p>
        </w:tc>
      </w:tr>
      <w:tr>
        <w:trPr>
          <w:trHeight w:val="58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50.0 (40.0, 59.3)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 (37.5, 56.0)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50.0 (41.0, 60.0)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48.5 (23.2, 57.7)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49.5 (42.7, 58.9)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46.5 (25.0, 57.8)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56.0 (43.7, 60.0)</w:t>
            </w:r>
          </w:p>
        </w:tc>
      </w:tr>
      <w:tr>
        <w:trPr>
          <w:trHeight w:val="575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8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Dependence/Severity Measure Used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Alcohol Scale (e.g., AUDIT)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Tobacco Scale (e.g., Fagerström, HSI)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(24%)</w:t>
            </w:r>
          </w:p>
        </w:tc>
      </w:tr>
      <w:tr>
        <w:trPr>
          <w:trHeight w:val="58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 Scale/Diagnostic Criteria (e.g., DSM-5, ASI, SADQ, NODS)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Behavioural Count/Proxy (e.g., CPD)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(16%)</w:t>
            </w:r>
          </w:p>
        </w:tc>
      </w:tr>
      <w:tr>
        <w:trPr>
          <w:trHeight w:val="58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None reported / None used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(60%)</w:t>
            </w:r>
          </w:p>
        </w:tc>
      </w:tr>
      <w:tr>
        <w:trPr>
          <w:trHeight w:val="544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Incentive Schedule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Fixed payment (monetary, vouchers, gift cards)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(38%)</w:t>
            </w:r>
          </w:p>
        </w:tc>
      </w:tr>
      <w:tr>
        <w:trPr>
          <w:trHeight w:val="58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(6.3%)</w:t>
            </w:r>
          </w:p>
        </w:tc>
      </w:tr>
      <w:tr>
        <w:trPr>
          <w:trHeight w:val="58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Pro-rated (per day/survey)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(56%)</w:t>
            </w:r>
          </w:p>
        </w:tc>
      </w:tr>
      <w:tr>
        <w:trPr>
          <w:trHeight w:val="575" w:hRule="auto"/>
        </w:trPr>
        body41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footer 1
        <w:tc>
          <w:tcPr>
            <w:gridSpan w:val="8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 (%); Median (Q1, Q3)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2026-04-06T11:55:06Z</dcterms:modified>
  <cp:category/>
</cp:coreProperties>
</file>