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059"/>
        <w:gridCol w:w="2025"/>
        <w:gridCol w:w="2270"/>
        <w:gridCol w:w="2025"/>
        <w:gridCol w:w="2342"/>
        <w:gridCol w:w="2147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JITAI/Microrandomised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Mixed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(76%)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Addictive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Cannabis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Gambling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Opioids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Polysubstance/Multiple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(100%)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Sample Size (Analytical)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(16.0, 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128.5 (28.0, 261.5)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 (18.0, 93.5)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 (28.0, 160.0)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(14.0,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(7.0, 92.0)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(14.0, 42.0)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120.5 (43.5, 280.5)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 (22.0, 119.0)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(28.0, 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34.5)</w:t>
            </w:r>
          </w:p>
        </w:tc>
      </w:tr>
      <w:tr>
        <w:trPr>
          <w:trHeight w:val="57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Study-Level Mean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 (22.4, 41.5)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(30.1,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 (21.0,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 (37.0,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 (22.4, 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 (19.6, 41.2)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 (30.9, 46.9)</w:t>
            </w:r>
          </w:p>
        </w:tc>
      </w:tr>
      <w:tr>
        <w:trPr>
          <w:trHeight w:val="57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(40.0, 58.4)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 (37.5, 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(41.0,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 (23.2,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 (42.7,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 (25.0, 57.8)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 (43.7, 59.6)</w:t>
            </w:r>
          </w:p>
        </w:tc>
      </w:tr>
      <w:tr>
        <w:trPr>
          <w:trHeight w:val="57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Dependence/Severity Measure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 Scale (e.g., AUDIT)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 Scale (e.g., Fagerström, HSI)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Scale/Diagnostic Criteria (e.g., DSM-5, ASI, SADQ, NODS)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Behavioural Count/Proxy (e.g., CPD)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reported / None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(56%)</w:t>
            </w:r>
          </w:p>
        </w:tc>
      </w:tr>
      <w:tr>
        <w:trPr>
          <w:trHeight w:val="5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Incentive Schedule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Fixed payment (monetary, vouchers, gift cards)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Pro-rated (per day/survey)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(53%)</w:t>
            </w:r>
          </w:p>
        </w:tc>
      </w:tr>
      <w:tr>
        <w:trPr>
          <w:trHeight w:val="575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(%); Median (Q1, Q3)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2026-05-21T11:51:06Z</dcterms:modified>
  <cp:category/>
</cp:coreProperties>
</file>