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38"/>
        <w:gridCol w:w="1303"/>
        <w:gridCol w:w="1792"/>
        <w:gridCol w:w="1878"/>
        <w:gridCol w:w="2342"/>
        <w:gridCol w:w="1426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GPS Device Type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(study provided)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Dedicated GPS logger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Movement-triggered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(36%)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 to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(40%)</w:t>
            </w:r>
          </w:p>
        </w:tc>
      </w:tr>
      <w:tr>
        <w:trPr>
          <w:trHeight w:val="57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(Complete Case)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Statistical / Algorithmic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Temporal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to &lt;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(20%)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 / Dynamic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Spatial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50m (High precision)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50m to 100m (e.g., standard buffer)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100m (e.g., neighbourhood)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Acceptability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7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Open Data / Code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and Data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Data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MAUP/UGCoP Considered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Sensitivity Analysis for MAUP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2026-05-21T11:51:18Z</dcterms:modified>
  <cp:category/>
</cp:coreProperties>
</file>