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138"/>
        <w:gridCol w:w="1426"/>
        <w:gridCol w:w="1792"/>
        <w:gridCol w:w="1878"/>
        <w:gridCol w:w="2342"/>
        <w:gridCol w:w="1303"/>
        <w:gridCol w:w="4811"/>
        <w:gridCol w:w="2244"/>
      </w:tblGrid>
      <w:tr>
        <w:trPr>
          <w:trHeight w:val="420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By Study Design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By Addictive Behaviour</w:t>
            </w:r>
          </w:p>
        </w:tc>
      </w:tr>
      <w:tr>
        <w:trPr>
          <w:trHeight w:val="589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(N = 57)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Experimental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(N = 4)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Observational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(N = 44)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Qualitative / Mixed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(N = 9)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Alcohol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(N = 14)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Other (Cannabis, Opioids, Polysubstance)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(N = 18)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Tobacco/Nicotine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(N = 25)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8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GPS Device Type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Smartphone (own device)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 (58%)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(89%)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 (68%)</w:t>
            </w:r>
          </w:p>
        </w:tc>
      </w:tr>
      <w:tr>
        <w:trPr>
          <w:trHeight w:val="58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Smartphone (study provided)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(28%)</w:t>
            </w:r>
          </w:p>
        </w:tc>
      </w:tr>
      <w:tr>
        <w:trPr>
          <w:trHeight w:val="58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Dedicated GPS logger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(4.0%)</w:t>
            </w:r>
          </w:p>
        </w:tc>
      </w:tr>
      <w:tr>
        <w:trPr>
          <w:trHeight w:val="58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</w:tr>
      <w:tr>
        <w:trPr>
          <w:trHeight w:val="58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Sampling Frequency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Continuous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(6.7%)</w:t>
            </w:r>
          </w:p>
        </w:tc>
      </w:tr>
      <w:tr>
        <w:trPr>
          <w:trHeight w:val="58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Movement-triggered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(6.7%)</w:t>
            </w:r>
          </w:p>
        </w:tc>
      </w:tr>
      <w:tr>
        <w:trPr>
          <w:trHeight w:val="58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≤ 1 minute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(36%)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 (60%)</w:t>
            </w:r>
          </w:p>
        </w:tc>
      </w:tr>
      <w:tr>
        <w:trPr>
          <w:trHeight w:val="58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&gt; 1 to 5 minutes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(6.7%)</w:t>
            </w:r>
          </w:p>
        </w:tc>
      </w:tr>
      <w:tr>
        <w:trPr>
          <w:trHeight w:val="58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&gt; 5 minutes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(20%)</w:t>
            </w:r>
          </w:p>
        </w:tc>
      </w:tr>
      <w:tr>
        <w:trPr>
          <w:trHeight w:val="575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Not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</w:t>
            </w:r>
          </w:p>
        </w:tc>
      </w:tr>
      <w:tr>
        <w:trPr>
          <w:trHeight w:val="575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Imputation Method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None (Complete Case)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(25%)</w:t>
            </w:r>
          </w:p>
        </w:tc>
      </w:tr>
      <w:tr>
        <w:trPr>
          <w:trHeight w:val="58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Statistical / Algorithmic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</w:tr>
      <w:tr>
        <w:trPr>
          <w:trHeight w:val="58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 (64%)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 (64%)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(75%)</w:t>
            </w:r>
          </w:p>
        </w:tc>
      </w:tr>
      <w:tr>
        <w:trPr>
          <w:trHeight w:val="575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Not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</w:t>
            </w:r>
          </w:p>
        </w:tc>
      </w:tr>
      <w:tr>
        <w:trPr>
          <w:trHeight w:val="57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Temporal Aggregation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 1 hour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(25%)</w:t>
            </w:r>
          </w:p>
        </w:tc>
      </w:tr>
      <w:tr>
        <w:trPr>
          <w:trHeight w:val="58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to &lt; 24 hours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</w:tr>
      <w:tr>
        <w:trPr>
          <w:trHeight w:val="58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 hours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(63%)</w:t>
            </w:r>
          </w:p>
        </w:tc>
      </w:tr>
      <w:tr>
        <w:trPr>
          <w:trHeight w:val="58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&gt; 24 hours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(13%)</w:t>
            </w:r>
          </w:p>
        </w:tc>
      </w:tr>
      <w:tr>
        <w:trPr>
          <w:trHeight w:val="58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Multiple scales / Dynamic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</w:tr>
      <w:tr>
        <w:trPr>
          <w:trHeight w:val="575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Not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</w:t>
            </w:r>
          </w:p>
        </w:tc>
      </w:tr>
      <w:tr>
        <w:trPr>
          <w:trHeight w:val="58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Spatial Aggregation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 50m (High precision)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(13%)</w:t>
            </w:r>
          </w:p>
        </w:tc>
      </w:tr>
      <w:tr>
        <w:trPr>
          <w:trHeight w:val="58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50m to 100m (e.g., standard buffer)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(25%)</w:t>
            </w:r>
          </w:p>
        </w:tc>
      </w:tr>
      <w:tr>
        <w:trPr>
          <w:trHeight w:val="58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&gt; 100m (e.g., neighbourhood)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(25%)</w:t>
            </w:r>
          </w:p>
        </w:tc>
      </w:tr>
      <w:tr>
        <w:trPr>
          <w:trHeight w:val="58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Multiple scales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(38%)</w:t>
            </w:r>
          </w:p>
        </w:tc>
      </w:tr>
      <w:tr>
        <w:trPr>
          <w:trHeight w:val="575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Not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</w:t>
            </w:r>
          </w:p>
        </w:tc>
      </w:tr>
      <w:tr>
        <w:trPr>
          <w:trHeight w:val="57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Acceptability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Acceptable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(100%)</w:t>
            </w:r>
          </w:p>
        </w:tc>
      </w:tr>
      <w:tr>
        <w:trPr>
          <w:trHeight w:val="575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Not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</w:t>
            </w:r>
          </w:p>
        </w:tc>
      </w:tr>
      <w:tr>
        <w:trPr>
          <w:trHeight w:val="57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Open Data / Code Available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 - Code and Data Available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(4.0%)</w:t>
            </w:r>
          </w:p>
        </w:tc>
      </w:tr>
      <w:tr>
        <w:trPr>
          <w:trHeight w:val="58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 - Data Available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</w:tr>
      <w:tr>
        <w:trPr>
          <w:trHeight w:val="58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 - Code Available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(12%)</w:t>
            </w:r>
          </w:p>
        </w:tc>
      </w:tr>
      <w:tr>
        <w:trPr>
          <w:trHeight w:val="58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 (84%)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 (84%)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(89%)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(86%)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 (84%)</w:t>
            </w:r>
          </w:p>
        </w:tc>
      </w:tr>
      <w:tr>
        <w:trPr>
          <w:trHeight w:val="58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MAUP/UGCoP Considered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(12%)</w:t>
            </w:r>
          </w:p>
        </w:tc>
      </w:tr>
      <w:tr>
        <w:trPr>
          <w:trHeight w:val="580" w:hRule="auto"/>
        </w:trPr>
        body40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Sensitivity Analysis for MAUP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(11%)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(14%)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(8.0%)</w:t>
            </w:r>
          </w:p>
        </w:tc>
      </w:tr>
      <w:tr>
        <w:trPr>
          <w:trHeight w:val="360" w:hRule="auto"/>
        </w:trPr>
        footer 1
        <w:tc>
          <w:tcPr>
            <w:gridSpan w:val="8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 (%)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2026-05-15T11:52:23Z</dcterms:modified>
  <cp:category/>
</cp:coreProperties>
</file>