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584"/>
        <w:gridCol w:w="1872"/>
        <w:gridCol w:w="4176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 Design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POI Data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Epstein 2014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Area-level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Observer ratings of 528 Baltimore blockfaces (NIfETy: physical disorder, social disorder, drug activity) and Baltimore Neighborhood Indicators Alliance neighbourhood boundaries; ratings kriged to a 90 m grid and aggregated by neighbourhood; GPS track points assigned grid values over the preceding 30 min to 12 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Epstein 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Area-level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Maryland Department of Planning property-tax data; parcel property type and taxable value as a proxy for socio-economic conditions; mapped to 30 m × 30 m pixels and extended 50 m into streets by inverse distance weighting; linked to GPS tracks.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Panlilio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Area-level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Baltimore Neighborhood Indicators Alliance; neighbourhood psychosocial hazard score (10 indicators, e.g., violent crime, vacancy, liquor outlet density, poverty); each EMA GPS location assigned to its neighbourhood.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Gajos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Axle; 15 environmental risk factor types (e.g., bars, liquor stores, convenience stores, shelters, hospitals) in Dallas; addresses and coordinates supplied; risk terrain modelling (RTMDx) of drinking locations using half-block (~250 ft) cells.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Kowitt &amp; Lipperman-Kreda 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Dun &amp; Bradstreet list filtered by industry (NAICS) codes, plus online search for hookah and e-cigarette outlets; tobacco outlets; verified by telephone, with GPS locations recorded by field observers; outlets counted within 50 and 100 m of daily GPS polylines, and time spent within 50 and 100 m.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Kowitt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Outlets from Kowitt &amp; Lipperman-Kreda 2020, with field-observer audit of outdoor marketing (STARS); tobacco outlets with outdoor marketing; GPS locations recorded by field observers; outlets counted within 50 m of daily GPS polylines, and time spent within 50 m.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Lee 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Business records classified by NAICS code (dataset not named); tobacco stores only; coordinates from records.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Lipperman-Kreda 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 Kowitt &amp; Lipperman-Kreda 2020 (Dun &amp; Bradstreet list filtered by NAICS codes, telephone verification, GPS locations recorded by field observers); tobacco outlets; outlets counted within 100 m of daily GPS polylines, and time spent within 100 m.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Lipperman-Kreda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Outlets from Kowitt &amp; Lipperman-Kreda 2020, with field-observer audit of outdoor marketing (STARS); tobacco outlets with outdoor marketing; GPS locations recorded by field observers; outlets counted within 50 m of daily GPS polylines, and time spent within 50 m.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Benvenuti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not reported; 65 drinking establishments (bars, restaurants, lounges) in Columbia, MO; EMA report locations matched to establishment coordinates.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Ringwald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reported; method referenced to a previous paper.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Ullah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of place types not reported; smoking spots (tobacco outlet, retail store, petrol station, bar) identified by mining participants' location histories and smoking reports; visit defined as dwelling ≥6.6 min within 30 m of the spot centroid.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Byrnes 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State Liquor Authority Mapping Project; on- and off-premise alcohol outlets; geocoded locations supplied by the registry; outlets counted by census tract and within 30, 100 and 200 m buffers of each participant's GPS route (30 m primary).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Byrnes 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State Liquor Authority Mapping Project (as Byrnes 2015); on- and off-premise alcohol outlets; geocoded locations supplied by the registry; presence of any outlet within 30, 100 and 200 m of each GPS route segment (100 m primary).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Chatterjee 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State licensing and open-data records (alcoholic beverage commission, comptroller, state open data portals); alcohol outlets, tobacco points of sale, retail, medical, schools and places of worship; addresses geocoded in ArcMap (TIGER, STAR Map) with manual re-matching in Google Maps; POIs linked to transient places identified from GPS.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Kim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Licensed tobacco retailers in Virginia (via Counter Tools); tobacco retail outlets; coordinates supplied; exposure if any GPS point in the previous 24 h fell within 100 m of an outlet (50 m sensitivity analysis).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Kirchner 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 Department of Consumer and Regulatory Affairs tobacco licensing records; tobacco retailers; geocoded to the DC Master Address Repository and field-verified; 30 m buffer around each outlet.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Morrison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California Department of Alcoholic Beverage Control licences (2013); bars, restaurants and off-premise outlets; addresses geocoded; exposure from residence buffers (200–1,600 m), activity-location polygons and time-weighted counts within 50, 100 and 200 m of activity paths.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Muzekari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Tobacco retailer licences from Pennsylvania and Delaware open data portals and a New Jersey public records request (36,580 retailers); tobacco retailers; linked to participants' Google Maps location history as summed daily exposure.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Watkins 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Texas Comptroller of Public Accounts tobacco licences; tobacco retailers; addresses geocoded with a composite address locator; street-network distance to nearest outlet and outlet density within a 1-mile network buffer at each EMA.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Rhew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registry; Area-level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Washington State Liquor and Cannabis Board licensed cannabis retailers, plus American Community Survey tract poverty; 100 m buffers around outlets intersected with daily GPS paths; hours per day spent in high-poverty tracts.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Theall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registry; Area-level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City and state Department of Alcohol and Tobacco Control alcohol outlets and police violent crime records, plus American Community Survey concentrated disadvantage; geocoded point data; counts by census tract and along GPS routes (method as Byrnes 2015).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Viera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Single-Arm Feasibility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Official registry; Area-level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Connecticut Department of Consumer Protection licensed alcohol outlets (bars/clubs, restaurants, supermarkets, package stores), plus American Community Survey tract data and CDC Social Vulnerability Index.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Prignitz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Open map data; Participant/researcher-defined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OpenStreetMap and Kulturatlas Mannheim, plus participant-reported frequently visited places; bars, clubs, parks and other trigger points grouped into five categories (nightlife, culture, leisure, peers, meeting spots).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Diaz-Sanahuja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Single-Arm Feasibility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Participant/researcher-defined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 with study therapist; personal gambling risk locations; identified in advance by participant and therapist; used as geofences to trigger intervention notifications.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Naughton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Randomised Controlled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Participant/researcher-defined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Generated by the app from participants' smoking reports; personal smoking locations; geofences created around locations where smoking was reported more than once; entering and remaining (≥5 min) triggered support messages.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Reitzel 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Participant/researcher-defined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Researcher-specified single location (the homeless shelter); Euclidean distance from each EMA location to the shelter (ArcGIS).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Wray 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Participant/researcher-defined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popular bars/clubs per city selected by local staff and internet ratings, plus up to 5 personal drinking locations marked by participants on Google Maps; circular geofences of 10–30 m radius, with a survey triggered after 350 s dwell time.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2026-10-18T15:44:00Z</dcterms:modified>
  <cp:category/>
</cp:coreProperties>
</file>