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138"/>
        <w:gridCol w:w="1303"/>
        <w:gridCol w:w="1878"/>
        <w:gridCol w:w="2892"/>
        <w:gridCol w:w="1315"/>
        <w:gridCol w:w="2721"/>
        <w:gridCol w:w="1426"/>
        <w:gridCol w:w="4811"/>
        <w:gridCol w:w="2244"/>
      </w:tblGrid>
      <w:tr>
        <w:trPr>
          <w:trHeight w:val="460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By Study Design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By Addictive Behaviour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57)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Observational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45)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Randomised Controlled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Pre-Post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3)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Single-Arm Feasibility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Alcohol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14)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Other (Cannabis, Opioids, Polysubstance)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18)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Tobacco/Nicotine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(N = 25)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GPS Device Type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Smartphone (own device)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Smartphone (study provided)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(28%)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Dedicated GPS logger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Sampling Frequency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Continuous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Movement-triggered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 1 minute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(36%)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1 to 5 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5 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Imputation Method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None (Complete Case)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Statistical / Algorithmic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(67%)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(84%)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Temporal Aggregation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1 hour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to &lt; 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24 hours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Multiple scales / Dynamic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Spatial Aggregation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 50m (High precision)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50m to 100m (e.g., standard buffer)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100m (e.g., neighbourhood)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Multiple scales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(77%)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Acceptability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Acceptable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(93%)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(68%)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Open Data / Code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 - Code and Data Available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 - Data Available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 - Code Available Only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(80%)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(86%)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(84%)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MAUP/UGCoP Considered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 Analysis for MAUP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POI Data Source*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Official registry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Commercial business list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(12%)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Open map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Participant/researcher-defined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(8.0%)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Area-level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Not reported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(4.0%)</w:t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(51%)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(44%)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(75%)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(100%)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(60%)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(39%)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(56%)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<w:tc>
          <w:tcPr>
            <w:gridSpan w:val="9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* Studies could report more than one POI data source, so counts can sum to more than N.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2026-10-18T15:43:59Z</dcterms:modified>
  <cp:category/>
</cp:coreProperties>
</file>