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059"/>
        <w:gridCol w:w="2025"/>
        <w:gridCol w:w="2270"/>
        <w:gridCol w:w="2025"/>
        <w:gridCol w:w="2342"/>
        <w:gridCol w:w="2147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JITAI/Microrandomised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Mixed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(76%)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Qualitative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4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Addictive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Cannabis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Gambling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Opioids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Polysubstance/Multiple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(100%)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Sample Size (Analytical)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(16.0, 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128.5 (28.0, 261.5)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 (18.0, 93.5)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 (28.0, 160.0)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 (14.0, 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(7.0, 92.0)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(14.0, 42.0)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120.5 (43.5, 280.5)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 (22.0, 119.0)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(28.0, 98.0)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(14.0, 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34.5)</w:t>
            </w:r>
          </w:p>
        </w:tc>
      </w:tr>
      <w:tr>
        <w:trPr>
          <w:trHeight w:val="57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Study-Level Mean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 (22.4, 41.5)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(30.1, 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 (21.0, 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 (37.0, 39.0)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 (22.4, 33.9)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 (19.6, 41.2)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 (30.9, 46.9)</w:t>
            </w:r>
          </w:p>
        </w:tc>
      </w:tr>
      <w:tr>
        <w:trPr>
          <w:trHeight w:val="57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(40.0, 58.4)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 (37.5, 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(41.0, 59.6)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 (23.2, 57.7)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 (42.7,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 (25.0, 57.8)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 (43.7, 59.6)</w:t>
            </w:r>
          </w:p>
        </w:tc>
      </w:tr>
      <w:tr>
        <w:trPr>
          <w:trHeight w:val="57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Dependence/Severity Measure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 Scale (e.g., AUDIT)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 Scale (e.g., Fagerström, HSI)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Scale/Diagnostic Criteria (e.g., DSM-5, ASI, SADQ, NODS)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Behavioural Count/Proxy (e.g., CPD)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reported / None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(56%)</w:t>
            </w:r>
          </w:p>
        </w:tc>
      </w:tr>
      <w:tr>
        <w:trPr>
          <w:trHeight w:val="5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Incentive Schedule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Fixed payment (monetary, vouchers, gift cards)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Pro-rated (per day/survey)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(53%)</w:t>
            </w:r>
          </w:p>
        </w:tc>
      </w:tr>
      <w:tr>
        <w:trPr>
          <w:trHeight w:val="575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(%); Median (Q1, Q3)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2026-05-18T09:34:09Z</dcterms:modified>
  <cp:category/>
</cp:coreProperties>
</file>