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38"/>
        <w:gridCol w:w="1303"/>
        <w:gridCol w:w="1792"/>
        <w:gridCol w:w="1878"/>
        <w:gridCol w:w="2342"/>
        <w:gridCol w:w="1426"/>
        <w:gridCol w:w="4811"/>
        <w:gridCol w:w="2244"/>
      </w:tblGrid>
      <w:tr>
        <w:trPr>
          <w:trHeight w:val="420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589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57)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Experimental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44)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Qualitative / Mixed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9)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Alcohol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Other (Cannabis, Opioids, Polysubstance)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18)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Tobacco/Nicotine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(N = 25)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8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GPS Device Type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Smartphone (own device)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Smartphone (study provided)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(28%)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Dedicated GPS logger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Sampling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Continuous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Movement-triggered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≤ 1 minute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(36%)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1 to 5 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5 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(40%)</w:t>
            </w:r>
          </w:p>
        </w:tc>
      </w:tr>
      <w:tr>
        <w:trPr>
          <w:trHeight w:val="57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Imputation Method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None (Complete Case)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Statistical / Algorithmic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(68%)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(84%)</w:t>
            </w:r>
          </w:p>
        </w:tc>
      </w:tr>
      <w:tr>
        <w:trPr>
          <w:trHeight w:val="57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Temporal Aggregation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 1 hour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58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to &lt; 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(20%)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scales / Dynamic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8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Spatial Aggregation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 50m (High precision)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50m to 100m (e.g., standard buffer)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&gt; 100m (e.g., neighbourhood)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58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scales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7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Acceptability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Acceptable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(32%)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7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Open Data / Code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- Code and Data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8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- Data Available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 - Code Available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48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37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(89%)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(84%)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MAUP/UGCoP Considered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Sensitivity Analysis for MAUP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(14%)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2026-05-18T10:15:23Z</dcterms:modified>
  <cp:category/>
</cp:coreProperties>
</file>