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059"/>
        <w:gridCol w:w="2025"/>
        <w:gridCol w:w="2270"/>
        <w:gridCol w:w="2025"/>
        <w:gridCol w:w="2342"/>
        <w:gridCol w:w="2147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56)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JITAI/Microrandomised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RCT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Mixed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(13%)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(75%)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Qualitative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</w:tr>
      <w:tr>
        <w:trPr>
          <w:trHeight w:val="54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Addictive Behaviour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Cannabis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Gambling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Opioids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Polysubstance/Multiple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(100%)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(29%)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(67%)</w:t>
            </w:r>
          </w:p>
        </w:tc>
      </w:tr>
      <w:tr>
        <w:trPr>
          <w:trHeight w:val="57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Sample Size (Analytical)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 (15.0, 91.0)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128.5 (28.0, 261.5)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 (18.0, 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 (28.0, 160.0)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 (14.0, 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 (6.0, 91.0)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(14.0, 42.0)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120.5 (43.5, 280.5)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 (22.0, 119.0)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(28.0, 98.0)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(14.0, 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38.0)</w:t>
            </w:r>
          </w:p>
        </w:tc>
      </w:tr>
      <w:tr>
        <w:trPr>
          <w:trHeight w:val="57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Study-Level Mean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 (22.4, 41.3)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(30.1, 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 (21.0, 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 (37.0, 39.0)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 (22.4, 33.9)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 (19.6, 41.2)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 (28.8, 49.1)</w:t>
            </w:r>
          </w:p>
        </w:tc>
      </w:tr>
      <w:tr>
        <w:trPr>
          <w:trHeight w:val="57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(39.5, 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 (37.5, 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(41.0, 59.6)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 (23.2, 57.7)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 (42.7, 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 (25.0, 57.8)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53.8 (43.7, 59.6)</w:t>
            </w:r>
          </w:p>
        </w:tc>
      </w:tr>
      <w:tr>
        <w:trPr>
          <w:trHeight w:val="57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Dependence/Severity Measure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 Scale (e.g., AUDIT)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 Scale (e.g., Fagerström, HSI)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(25%)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Scale/Diagnostic Criteria (e.g., DSM-5, ASI, SADQ, NODS)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Behavioural Count/Proxy (e.g., CPD)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(17%)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reported / None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(58%)</w:t>
            </w:r>
          </w:p>
        </w:tc>
      </w:tr>
      <w:tr>
        <w:trPr>
          <w:trHeight w:val="5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Incentive Schedule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Fixed payment (monetary, vouchers, gift cards)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Pro-rated (per day/survey)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(53%)</w:t>
            </w:r>
          </w:p>
        </w:tc>
      </w:tr>
      <w:tr>
        <w:trPr>
          <w:trHeight w:val="575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(%); Median (Q1, Q3)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2026-04-12T11:34:31Z</dcterms:modified>
  <cp:category/>
</cp:coreProperties>
</file>