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584"/>
        <w:gridCol w:w="1872"/>
        <w:gridCol w:w="417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Design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POI Data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Epstein 2014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Area-level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Observer ratings of 528 Baltimore blockfaces (NIfETy: physical disorder, social disorder, drug activity) and Baltimore Neighborhood Indicators Alliance neighbourhood boundaries; ratings kriged to a 90 m grid and aggregated by neighbourhood; GPS track points assigned grid values over the preceding 30 min to 12 h.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Epstein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Area-level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Maryland Department of Planning property-tax data; parcel property type and taxable value as a proxy for socio-economic conditions; mapped to 30 m × 30 m pixels and extended 50 m into streets by inverse distance weighting; linked to GPS tracks.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Panlilio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Area-level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Baltimore Neighborhood Indicators Alliance; neighbourhood psychosocial hazard score (10 indicators, e.g., violent crime, vacancy, liquor outlet density, poverty); each EMA GPS location assigned to its neighbourhood.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Gajos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 business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Axle; 15 environmental risk factor types (e.g., bars, liquor stores, convenience stores, shelters, hospitals) in Dallas; addresses and coordinates supplied; risk terrain modelling (RTMDx) of drinking locations using half-block (~250 ft) cells.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Kowitt &amp; Lipperman-Kreda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 business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Dun &amp; Bradstreet list filtered by industry (NAICS) codes, plus online search for hookah and e-cigarette outlets; tobacco outlets; verified by telephone, with GPS locations recorded by field observers; outlets counted within 50 and 100 m of daily GPS polylines, and time spent within 50 and 100 m.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Kowitt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 business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Outlets from Kowitt &amp; Lipperman-Kreda 2020, with field-observer audit of outdoor marketing (STARS); tobacco outlets with outdoor marketing; GPS locations recorded by field observers; outlets counted within 50 m of daily GPS polylines, and time spent within 50 m.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Lee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 business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Business records classified by NAICS code (dataset not named); tobacco stores only; coordinates from records; [linkage: check paper].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Lipperman-Kreda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 business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 Kowitt &amp; Lipperman-Kreda 2020 (Dun &amp; Bradstreet list filtered by NAICS codes, telephone verification, GPS locations recorded by field observers); tobacco outlets; outlets counted within 100 m of daily GPS polylines, and time spent within 100 m.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Lipperman-Kreda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 business list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Outlets from Kowitt &amp; Lipperman-Kreda 2020, with field-observer audit of outdoor marketing (STARS); tobacco outlets with outdoor marketing; GPS locations recorded by field observers; outlets counted within 50 m of daily GPS polylines, and time spent within 50 m.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Benvenuti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 not reported; 65 drinking establishments (bars, restaurants, lounges) in Columbia, MO; EMA report locations matched to establishment coordinates.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Ringwald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reported; method referenced to a previous paper.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Ullah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 of place types not reported; smoking spots (tobacco outlet, retail store, petrol station, bar) identified by mining participants' location histories and smoking reports; visit defined as dwelling ≥6.6 min within 30 m of the spot centroid.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Byrnes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State Liquor Authority Mapping Project; on- and off-premise alcohol outlets; geocoded locations supplied by the registry; outlets counted by census tract and within 30, 100 and 200 m buffers of each participant's GPS route (30 m primary).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Byrnes 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State Liquor Authority Mapping Project (as Byrnes 2015); on- and off-premise alcohol outlets; geocoded locations supplied by the registry; presence of any outlet within 30, 100 and 200 m of each GPS route segment (100 m primary).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Chatterjee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State licensing and open-data records (alcoholic beverage commission, comptroller, state open data portals); alcohol outlets, tobacco points of sale, retail, medical, schools and places of worship; addresses geocoded in ArcMap (TIGER, STAR Map) with manual re-matching in Google Maps; POIs linked to transient places identified from GPS.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Kim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Licensed tobacco retailers in Virginia (via Counter Tools); tobacco retail outlets; coordinates supplied; exposure if any GPS point in the previous 24 h fell within 100 m of an outlet (50 m sensitivity analysis).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Kirchner 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 Department of Consumer and Regulatory Affairs tobacco licensing records; tobacco retailers; geocoded to the DC Master Address Repository and field-verified; 30 m buffer around each outlet.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Morrison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California Department of Alcoholic Beverage Control licences (2013); bars, restaurants and off-premise outlets; addresses geocoded; exposure from residence buffers (200–1,600 m), activity-location polygons and time-weighted counts within 50, 100 and 200 m of activity paths.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Muzekari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Tobacco retailer licences from Pennsylvania and Delaware open data portals and a New Jersey public records request (36,580 retailers); tobacco retailers; linked to participants' Google Maps location history as summed daily exposure.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Watkins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Texas Comptroller of Public Accounts tobacco licences; tobacco retailers; addresses geocoded with a composite address locator; street-network distance to nearest outlet and outlet density within a 1-mile network buffer at each EMA.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Rhew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registry; Area-level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Washington State Liquor and Cannabis Board licensed cannabis retailers, plus American Community Survey tract poverty; 100 m buffers around outlets intersected with daily GPS paths; hours per day spent in high-poverty tracts.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Theall 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registry; Area-level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City and state Department of Alcohol and Tobacco Control alcohol outlets and police violent crime records, plus American Community Survey concentrated disadvantage; geocoded point data; counts by census tract and along GPS routes (method as Byrnes 2015).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Viera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Single-Arm 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Official registry; Area-level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Connecticut Department of Consumer Protection licensed alcohol outlets (bars/clubs, restaurants, supermarkets, package stores), plus American Community Survey tract data and CDC Social Vulnerability Index; [linkage: check paper].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Prignitz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Open map data; Participant/researcher-defined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OpenStreetMap and Kulturatlas Mannheim, plus participant-reported frequently visited places; bars, clubs, parks and other trigger points grouped into five categories (nightlife, culture, leisure, peers, meeting spots); [linkage: check paper].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Diaz-Sanahuja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Single-Arm 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Participant/researcher-defined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 with study therapist; personal gambling risk locations; identified in advance by participant and therapist; used as geofences to trigger intervention notifications.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Naughton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Randomised Controlled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Participant/researcher-defined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Generated by the app from participants' smoking reports; personal smoking locations; geofences created around locations where smoking was reported more than once; entering and remaining (≥5 min) triggered support messages.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Reitzel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Participant/researcher-defined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Researcher-specified single location (the homeless shelter); Euclidean distance from each EMA location to the shelter (ArcGIS).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Wray 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Participant/researcher-defined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popular bars/clubs per city selected by local staff and internet ratings, plus up to 5 personal drinking locations marked by participants on Google Maps; circular geofences of 10–30 m radius, with a survey triggered after 350 s dwell time.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2026-09-25T18:23:15Z</dcterms:modified>
  <cp:category/>
</cp:coreProperties>
</file>