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38"/>
        <w:gridCol w:w="1303"/>
        <w:gridCol w:w="1878"/>
        <w:gridCol w:w="2892"/>
        <w:gridCol w:w="1315"/>
        <w:gridCol w:w="2721"/>
        <w:gridCol w:w="1426"/>
        <w:gridCol w:w="4811"/>
        <w:gridCol w:w="2244"/>
      </w:tblGrid>
      <w:tr>
        <w:trPr>
          <w:trHeight w:val="4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By Study Design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By Addictive Behaviour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 = 57)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 = 45)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Randomised Controlled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 = 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Pre-Post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 = 3)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Single-Arm Feasibility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 = 5)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Alcohol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 = 14)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Other (Cannabis, Opioids, Polysubstance)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 = 18)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Tobacco/Nicotine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 = 25)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GPS Device Type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Smartphone (own device)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(68%)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Smartphone (study provided)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Dedicated GPS logger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Sampling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Movement-triggered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 1 minute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 1 to 5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 5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Imputation Method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 (Complete Case)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Statistical / Algorithmic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Temporal Aggregation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 hour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(8.0%)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to &lt; 24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 24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Multiple scales / Dynamic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(68%)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Spatial Aggregation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50m (High precision)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50m to 100m (e.g., standard buffer)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(8.0%)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 100m (e.g., neighbourhood)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(8.0%)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Multiple scales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(68%)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Acceptability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Acceptable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(68%)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Open Data / Code Available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 - Code and Data Available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 - Data Available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 - Code Available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MAUP/UGCoP Considered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Sensitivity Analysis for MAUP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(8.0%)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POI Data Source*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Official 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Commercial business 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Open map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Participant/researcher-defined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(8.0%)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Area-level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(4.0%)</w:t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(51%)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(44%)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(100%)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(56%)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Studies could report more than one POI data source, so counts can sum to more than N.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2026-09-25T18:19:42Z</dcterms:modified>
  <cp:category/>
</cp:coreProperties>
</file>