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2"/>
        <w:gridCol w:w="1531"/>
        <w:gridCol w:w="1611"/>
        <w:gridCol w:w="2441"/>
        <w:gridCol w:w="1191"/>
        <w:gridCol w:w="2301"/>
        <w:gridCol w:w="1191"/>
        <w:gridCol w:w="1911"/>
        <w:gridCol w:w="119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Reported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Randomised Controlled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Pre-Post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Single-Arm Feasibility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60" w:hRule="auto"/>
        </w:trPr>
        <w:tc>
          <w:tcPr>
            <w:gridSpan w:val="9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Participant Cut-offs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Missing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Consecutive Days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GEMA Compliance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Geofences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Ground Truth Tier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(EMA Confirmation)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GIS Buffer/Overlay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Algorithmic (Dwell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Linkage of Raw Coordinates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60" w:hRule="auto"/>
        </w:trPr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Noise Filtering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Manual Cleaning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Accuracy/DOP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Methodological Trade-offs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EMA Integration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Accuracy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Storage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Reported Barriers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Technical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GPS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Covid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 Concerns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 Limitations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2026-10-18T15:44:01Z</dcterms:modified>
  <cp:category/>
</cp:coreProperties>
</file>