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001"/>
        <w:gridCol w:w="2025"/>
        <w:gridCol w:w="2025"/>
        <w:gridCol w:w="2892"/>
        <w:gridCol w:w="2025"/>
        <w:gridCol w:w="2721"/>
        <w:gridCol w:w="2147"/>
        <w:gridCol w:w="4811"/>
        <w:gridCol w:w="2244"/>
      </w:tblGrid>
      <w:tr>
        <w:trPr>
          <w:trHeight w:val="4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By Study Design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By Addictive Behaviour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57)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Observational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45)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Randomised Controlled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Pre-Post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3)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Single-Arm Feasibility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5)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Alcohol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14)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Other (Cannabis, Opioids, Polysubstance)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18)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Tobacco/Nicotine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(N = 25)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 Design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 – Longitudinal Cohort (Quantitative)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(98%)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Observational – Longitudinal Cohort (Mixed-Methods)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Interventional – Randomised Controlled Studies (Quantitative)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(8.0%)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Interventional – Randomised Controlled Studies (Mixed-Methods)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Interventional – Pre-Post Studies (Quantitative)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Interventional – Pre-Post Studies (Mixed-Methods)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Interventional – Single-Arm Feasibility/Acceptability Study (Mixed-Methods)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Interventional – Single-Arm Feasibility/Acceptability Study (Qualitative)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Addictive Behaviour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Alcohol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Cannabis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Gambling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Opioids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Polysubstance/Multiple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Tobacco/Nicotine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 (100%)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Country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Canada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(4.0%)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Switzerland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(75%)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(79%)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(68%)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Uganda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Sample Size (Analytical)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33.0 (16.0, 92.0)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38.0 (18.0, 92.0)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209.0 (108.5, 261.5)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 (13.0, 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10.0 (4.0, 19.0)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63.5 (28.0, 160.0)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31.5 (14.0, 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25.0 (7.0, 92.0)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 Duration (Days)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29.0 (14.0, 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 (14.0, 30.0)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196.0 (120.5, 280.5)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42.0 (31.0, 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28.0 (10.5, 218.5)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36.0 (28.0, 98.0)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30.0 (14.0, 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14.0 (14.0, 34.5)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Study-Level Mean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37.0 (22.4, 41.5)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30.9 (21.0, 44.7)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39.5 (32.2, 41.0)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33.8 (33.6, 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37.7 (37.0, 39.0)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27.8 (22.4, 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30.6 (19.6, 41.2)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41.1 (30.9, 46.9)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Female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50.0 (40.0, 58.4)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50.0 (40.0, 59.6)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47.5 (38.3, 56.0)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46.7 (46.4, 47.0)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54.7 (25.0, 69.7)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49.5 (42.7, 58.9)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46.5 (25.0, 57.8)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55.3 (43.7, 59.6)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Dependence/Severity Measure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Alcohol Scale (e.g., AUDIT)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Tobacco Scale (e.g., Fagerström, HSI)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(28%)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 Scale/Diagnostic Criteria (e.g., DSM-5, ASI, SADQ, NODS)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Behavioural Count/Proxy (e.g., CPD)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 reported / None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(56%)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Incentive Schedule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Fixed payment (monetary, vouchers, gift cards)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(100%)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(40%)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(6.7%)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Pro-rated (per day/survey)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 (65%)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(53%)</w:t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 Reported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(%); Median (Q1, Q3)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2026-09-25T17:56:09Z</dcterms:modified>
  <cp:category/>
</cp:coreProperties>
</file>