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F6FA" w14:textId="47FBD403" w:rsidR="0045669B" w:rsidRDefault="0045669B" w:rsidP="0045669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980B1CE" wp14:editId="63C3B5F5">
            <wp:extent cx="5724525" cy="445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4F82" w14:textId="1D8C34B7" w:rsidR="0045669B" w:rsidRDefault="0045669B" w:rsidP="0045669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Supplementary Figure 1 </w:t>
      </w:r>
      <w:r>
        <w:rPr>
          <w:rFonts w:ascii="Arial" w:hAnsi="Arial" w:cs="Arial"/>
        </w:rPr>
        <w:t xml:space="preserve">– Modelled relative sequencing effort of combined </w:t>
      </w:r>
      <w:r w:rsidR="00E73F39">
        <w:rPr>
          <w:rFonts w:ascii="Arial" w:hAnsi="Arial" w:cs="Arial"/>
        </w:rPr>
        <w:t xml:space="preserve">human and rodent samples, adjusted for the number of reported confirmed cases in a region or country from 2012-2022. </w:t>
      </w:r>
      <w:r w:rsidR="00E73F39">
        <w:rPr>
          <w:rFonts w:ascii="Arial" w:hAnsi="Arial" w:cs="Arial"/>
        </w:rPr>
        <w:t>Greatest sequencing effort coincides with areas where sampling in humans (Edo, Nigeria and Kenema, Sierra Leone) and rodents (</w:t>
      </w:r>
      <w:proofErr w:type="spellStart"/>
      <w:r w:rsidR="00E73F39">
        <w:rPr>
          <w:rFonts w:ascii="Arial" w:hAnsi="Arial" w:cs="Arial"/>
        </w:rPr>
        <w:t>Faranah</w:t>
      </w:r>
      <w:proofErr w:type="spellEnd"/>
      <w:r w:rsidR="00E73F39">
        <w:rPr>
          <w:rFonts w:ascii="Arial" w:hAnsi="Arial" w:cs="Arial"/>
        </w:rPr>
        <w:t>, Guinea) have historically been focussed.</w:t>
      </w:r>
    </w:p>
    <w:p w14:paraId="27B25720" w14:textId="1F681DC6" w:rsidR="0045669B" w:rsidRPr="00F74A06" w:rsidRDefault="0045669B" w:rsidP="0045669B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72C8817" wp14:editId="3604EAB0">
            <wp:extent cx="5724525" cy="716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7510" w14:textId="77777777" w:rsidR="0045669B" w:rsidRDefault="0045669B" w:rsidP="0045669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Supplementary </w:t>
      </w:r>
      <w:r w:rsidRPr="00DA012A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2</w:t>
      </w:r>
      <w:r w:rsidRPr="00F74A06">
        <w:rPr>
          <w:rFonts w:ascii="Arial" w:hAnsi="Arial" w:cs="Arial"/>
        </w:rPr>
        <w:t xml:space="preserve"> –</w:t>
      </w:r>
      <w:r w:rsidRPr="003E60D9">
        <w:rPr>
          <w:rFonts w:ascii="Arial" w:hAnsi="Arial" w:cs="Arial"/>
          <w:b/>
          <w:bCs/>
        </w:rPr>
        <w:t xml:space="preserve"> A</w:t>
      </w:r>
      <w:r w:rsidRPr="00F74A06">
        <w:rPr>
          <w:rFonts w:ascii="Arial" w:hAnsi="Arial" w:cs="Arial"/>
        </w:rPr>
        <w:t xml:space="preserve"> Most recent common ancestor (MRCA) for included samples in phylogenetic analysis from Nigerian states for the S segment (Left) and L segment (Right). Colours in the pie charts correspond to year of MRCA for each individual sample. </w:t>
      </w:r>
    </w:p>
    <w:p w14:paraId="0E03E871" w14:textId="761DD71B" w:rsidR="0045669B" w:rsidRDefault="0045669B" w:rsidP="0045669B">
      <w:pPr>
        <w:spacing w:after="0" w:line="360" w:lineRule="auto"/>
        <w:jc w:val="both"/>
        <w:rPr>
          <w:rFonts w:ascii="Arial" w:hAnsi="Arial" w:cs="Arial"/>
        </w:rPr>
      </w:pPr>
    </w:p>
    <w:p w14:paraId="71D2122E" w14:textId="231053CB" w:rsidR="0045669B" w:rsidRDefault="0045669B" w:rsidP="0045669B">
      <w:pPr>
        <w:spacing w:after="0" w:line="360" w:lineRule="auto"/>
        <w:jc w:val="both"/>
        <w:rPr>
          <w:rFonts w:ascii="Arial" w:hAnsi="Arial" w:cs="Arial"/>
        </w:rPr>
      </w:pPr>
    </w:p>
    <w:p w14:paraId="446B4792" w14:textId="77777777" w:rsidR="0045669B" w:rsidRDefault="0045669B" w:rsidP="0045669B">
      <w:pPr>
        <w:spacing w:after="0" w:line="360" w:lineRule="auto"/>
        <w:jc w:val="both"/>
        <w:rPr>
          <w:rFonts w:ascii="Arial" w:hAnsi="Arial" w:cs="Arial"/>
        </w:rPr>
      </w:pPr>
    </w:p>
    <w:p w14:paraId="275BB35E" w14:textId="0894088F" w:rsidR="0060441F" w:rsidRDefault="0045669B">
      <w:r>
        <w:rPr>
          <w:noProof/>
        </w:rPr>
        <w:lastRenderedPageBreak/>
        <w:drawing>
          <wp:inline distT="0" distB="0" distL="0" distR="0" wp14:anchorId="66497A18" wp14:editId="53786BDA">
            <wp:extent cx="548640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9C19" w14:textId="77777777" w:rsidR="0045669B" w:rsidRPr="00F74A06" w:rsidRDefault="0045669B" w:rsidP="0045669B">
      <w:pPr>
        <w:spacing w:after="0"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Supplementary Figure 2 – </w:t>
      </w:r>
      <w:r w:rsidRPr="0045669B"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 xml:space="preserve"> </w:t>
      </w:r>
      <w:r w:rsidRPr="00F74A06">
        <w:rPr>
          <w:rFonts w:ascii="Arial" w:hAnsi="Arial" w:cs="Arial"/>
        </w:rPr>
        <w:t>Histograms of MRCA for included samples in phylogenetic analysis from Nigerian states for the S segment (Left) and L segment (Right).</w:t>
      </w:r>
    </w:p>
    <w:p w14:paraId="3218FB0B" w14:textId="77777777" w:rsidR="0045669B" w:rsidRDefault="0045669B"/>
    <w:sectPr w:rsidR="00456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CD"/>
    <w:rsid w:val="0045669B"/>
    <w:rsid w:val="00502DDE"/>
    <w:rsid w:val="0060441F"/>
    <w:rsid w:val="00AB4A7F"/>
    <w:rsid w:val="00E73F39"/>
    <w:rsid w:val="00FC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F62F"/>
  <w15:chartTrackingRefBased/>
  <w15:docId w15:val="{DBE2DA4F-5BD5-4D7D-8913-556BAEB0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Simons</dc:creator>
  <cp:keywords/>
  <dc:description/>
  <cp:lastModifiedBy>David Simons</cp:lastModifiedBy>
  <cp:revision>2</cp:revision>
  <dcterms:created xsi:type="dcterms:W3CDTF">2022-10-06T16:46:00Z</dcterms:created>
  <dcterms:modified xsi:type="dcterms:W3CDTF">2022-10-06T17:00:00Z</dcterms:modified>
</cp:coreProperties>
</file>