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51.6 (38-62)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2020-06-29T14:56:52Z</dcterms:modified>
  <cp:category/>
</cp:coreProperties>
</file>