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17,278,392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56.5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2020-07-19T23:06:23Z</dcterms:modified>
  <cp:category/>
</cp:coreProperties>
</file>