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1746 (82.98%)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(20.81%)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1479 (73.99%)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2020-06-26T15:11:01Z</dcterms:modified>
  <cp:category/>
</cp:coreProperties>
</file>