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unclear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2020-10-06T10:34:48Z</dcterms:modified>
  <cp:category/>
</cp:coreProperties>
</file>