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design, inclusion of clinical diagnoses and stratified smoking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diagnoses included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Stratified smoking reported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Mcgrail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Concha, 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2020-08-26T16:11:30Z</dcterms:modified>
  <cp:category/>
</cp:coreProperties>
</file>