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https://dx.doi.org/10.1016%2Fj.addbeh.2007.10.003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https://www.oecd.org/austria/SAG2016-austria.pdf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sciencedirect.com/science/article/abs/pii/S0091743597902346?via%3Dihub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https://www.ncbi.nlm.nih.gov/pmc/articles/PMC4124902/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https://apps.who.int/iris/bitstream/handle/10665/272687/wntd_2018_nepal_fs.pdf?sequence=1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http://www.batut.org.rs/download/publikacije/2013SerbiaHealthSurvey.pdf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https://link.springer.com/article/10.1007/s00038-016-0787-y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https://data.worldbank.org/indicator/SH.PRV.SMOK?locations=AE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https://www.who.int/tobacco/surveillance/survey/gats/argentina_fact_sheet_2012.pdf?ua=1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2021-01-03T15:58:54Z</dcterms:modified>
  <cp:category/>
</cp:coreProperties>
</file>