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https://dx.doi.org/10.1016%2Fj.addbeh.2007.10.003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2020-09-28T11:57:34Z</dcterms:modified>
  <cp:category/>
</cp:coreProperties>
</file>