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https://www.who.int/tobacco/surveillance/survey/gats/argentina_fact_sheet_2012.pdf?ua=1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2021-01-28T20:03:39Z</dcterms:modified>
  <cp:category/>
</cp:coreProperties>
</file>