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D6F7" w14:textId="77777777" w:rsidR="00E106C7" w:rsidRPr="00074076" w:rsidRDefault="00E106C7" w:rsidP="00E106C7">
      <w:pPr>
        <w:spacing w:after="0" w:line="24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32323"/>
          <w:kern w:val="36"/>
          <w:sz w:val="42"/>
          <w:szCs w:val="42"/>
          <w:lang w:eastAsia="en-ZA"/>
        </w:rPr>
      </w:pPr>
      <w:r>
        <w:rPr>
          <w:rFonts w:ascii="Helvetica" w:eastAsia="Times New Roman" w:hAnsi="Helvetica" w:cs="Helvetica"/>
          <w:b/>
          <w:bCs/>
          <w:color w:val="232323"/>
          <w:kern w:val="36"/>
          <w:sz w:val="42"/>
          <w:szCs w:val="42"/>
          <w:lang w:eastAsia="en-ZA"/>
        </w:rPr>
        <w:t>RefrMe</w:t>
      </w:r>
      <w:r w:rsidRPr="00074076">
        <w:rPr>
          <w:rFonts w:ascii="Helvetica" w:eastAsia="Times New Roman" w:hAnsi="Helvetica" w:cs="Helvetica"/>
          <w:b/>
          <w:bCs/>
          <w:color w:val="232323"/>
          <w:kern w:val="36"/>
          <w:sz w:val="42"/>
          <w:szCs w:val="42"/>
          <w:lang w:eastAsia="en-ZA"/>
        </w:rPr>
        <w:t xml:space="preserve"> Home Broadband </w:t>
      </w:r>
      <w:r>
        <w:rPr>
          <w:rFonts w:ascii="Helvetica" w:eastAsia="Times New Roman" w:hAnsi="Helvetica" w:cs="Helvetica"/>
          <w:b/>
          <w:bCs/>
          <w:color w:val="232323"/>
          <w:kern w:val="36"/>
          <w:sz w:val="42"/>
          <w:szCs w:val="42"/>
          <w:lang w:eastAsia="en-ZA"/>
        </w:rPr>
        <w:t>Fixed-L</w:t>
      </w:r>
      <w:r w:rsidRPr="00074076">
        <w:rPr>
          <w:rFonts w:ascii="Helvetica" w:eastAsia="Times New Roman" w:hAnsi="Helvetica" w:cs="Helvetica"/>
          <w:b/>
          <w:bCs/>
          <w:color w:val="232323"/>
          <w:kern w:val="36"/>
          <w:sz w:val="42"/>
          <w:szCs w:val="42"/>
          <w:lang w:eastAsia="en-ZA"/>
        </w:rPr>
        <w:t>TE Terms and Conditions</w:t>
      </w:r>
    </w:p>
    <w:p w14:paraId="6CE8B20C" w14:textId="77777777" w:rsidR="00E106C7" w:rsidRPr="00074076" w:rsidRDefault="00E106C7" w:rsidP="00E106C7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 xml:space="preserve">The </w:t>
      </w:r>
      <w:r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RefrMe</w:t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 xml:space="preserve"> F</w:t>
      </w:r>
      <w:r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ixed</w:t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-LTE Terms and Conditions</w:t>
      </w:r>
    </w:p>
    <w:p w14:paraId="36035AFD" w14:textId="77777777" w:rsidR="00E106C7" w:rsidRPr="00074076" w:rsidRDefault="00E106C7" w:rsidP="00E106C7">
      <w:pPr>
        <w:numPr>
          <w:ilvl w:val="0"/>
          <w:numId w:val="1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br/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The following Terms and Conditions contain assumptions of risk and/or liability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br/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by the Customer; and limits and excludes liabilities, obligations and legal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br/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 xml:space="preserve">responsibilities which </w:t>
      </w:r>
      <w:r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RefrMe</w:t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 xml:space="preserve"> FTTX Proprietary Limited (referred to as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br/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“</w:t>
      </w:r>
      <w:r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RefrMe</w:t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”) will have towards Customers and other persons.</w:t>
      </w:r>
    </w:p>
    <w:p w14:paraId="39C673A7" w14:textId="77777777" w:rsidR="00E106C7" w:rsidRPr="00074076" w:rsidRDefault="00E106C7" w:rsidP="00E106C7">
      <w:pPr>
        <w:numPr>
          <w:ilvl w:val="0"/>
          <w:numId w:val="1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br/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These Terms and Conditions also limit and exclude Customers rights and remedies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br/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 xml:space="preserve">against </w:t>
      </w:r>
      <w:r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RefrMe</w:t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 xml:space="preserve"> and place various risks, liabilities, obligations and legal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br/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responsibilities on Customers.</w:t>
      </w:r>
    </w:p>
    <w:p w14:paraId="0D4F9C0C" w14:textId="77777777" w:rsidR="00E106C7" w:rsidRPr="00074076" w:rsidRDefault="00E106C7" w:rsidP="00E106C7">
      <w:pPr>
        <w:numPr>
          <w:ilvl w:val="0"/>
          <w:numId w:val="1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br/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These Terms and Conditions may result in Customers being responsible for paying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br/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 xml:space="preserve">additional costs and amounts and </w:t>
      </w:r>
      <w:r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RefrMe</w:t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 xml:space="preserve"> may also have claims and other rights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br/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against Customers.</w:t>
      </w:r>
    </w:p>
    <w:p w14:paraId="42222BAF" w14:textId="77777777" w:rsidR="00E106C7" w:rsidRPr="00074076" w:rsidRDefault="00E106C7" w:rsidP="00E106C7">
      <w:pPr>
        <w:numPr>
          <w:ilvl w:val="0"/>
          <w:numId w:val="1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br/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To the extent that the Terms and Conditions or any goods or services provided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br/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under the Terms and Conditions are governed by the Consumer Protection Act, 2008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br/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(“the CPA”), no provision of these Terms and Conditions is intended to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br/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contravene the applicable provisions of the CPA. Therefore, all provisions of the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br/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Terms and Conditions must be treated as being qualified, to the extent necessary, to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br/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ensure that the applicable provisions of the CPA are complied with.</w:t>
      </w:r>
    </w:p>
    <w:p w14:paraId="33F2C2AC" w14:textId="77777777" w:rsidR="00E106C7" w:rsidRPr="00074076" w:rsidRDefault="00E106C7" w:rsidP="00E106C7">
      <w:pPr>
        <w:numPr>
          <w:ilvl w:val="0"/>
          <w:numId w:val="1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br/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 xml:space="preserve">The Customer must read these Terms and Conditions. Utilization of the </w:t>
      </w:r>
      <w:r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RefrMe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br/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lastRenderedPageBreak/>
        <w:t>Fixed-LTE Services (</w:t>
      </w:r>
      <w:r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RefrMe</w:t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 xml:space="preserve"> F-LTE) will constitute as agreement to comply with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br/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these Terms and Conditions.</w:t>
      </w:r>
    </w:p>
    <w:p w14:paraId="0323221F" w14:textId="77777777" w:rsidR="00E106C7" w:rsidRPr="00074076" w:rsidRDefault="00E106C7" w:rsidP="00E106C7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Introduction</w:t>
      </w:r>
    </w:p>
    <w:p w14:paraId="75E0A65F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The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service is a residential fixed broadband service utilising LTE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spectrum on MTN South Africa’s mobile network to deliver fast internet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connectivity to the home.</w:t>
      </w:r>
    </w:p>
    <w:p w14:paraId="465B83AC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is a fixed broadband service that will be offered as a stand-alone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product to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Customers who reside within MTN Fixed-LTE coverage areas.</w:t>
      </w:r>
    </w:p>
    <w:p w14:paraId="3FD74350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The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service will only be available on LTE technology, it will not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fall back to 3G or 2G technology.</w:t>
      </w:r>
    </w:p>
    <w:p w14:paraId="403E2822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service will only provide a public dynamic IP address, and no fixed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IP address VAS is allowed.</w:t>
      </w:r>
    </w:p>
    <w:p w14:paraId="2B96728D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service does not support traditional mobile voice, SMS and USSD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services.</w:t>
      </w:r>
    </w:p>
    <w:p w14:paraId="45B548AA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The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service makes use of a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private APN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(</w:t>
      </w:r>
      <w:proofErr w:type="spellStart"/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ws.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.fwa</w:t>
      </w:r>
      <w:proofErr w:type="spellEnd"/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) which the Customer may need to manually configure on to the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router.</w:t>
      </w:r>
    </w:p>
    <w:p w14:paraId="56B1797F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can only provide F-LTE services in an area where there is MTN SA Fixed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LTE coverage.</w:t>
      </w:r>
    </w:p>
    <w:p w14:paraId="718EF1DF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The provision of the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service is subject to the verification of the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coverage after the order has been placed with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.</w:t>
      </w:r>
    </w:p>
    <w:p w14:paraId="13E1F811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In addition to these Terms and Conditions, the use of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is subject to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the following:</w:t>
      </w:r>
    </w:p>
    <w:p w14:paraId="5EF667FC" w14:textId="77777777" w:rsidR="00E106C7" w:rsidRPr="00074076" w:rsidRDefault="00E106C7" w:rsidP="00E106C7">
      <w:pPr>
        <w:numPr>
          <w:ilvl w:val="2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General Terms and Conditions</w:t>
      </w:r>
    </w:p>
    <w:p w14:paraId="2E001726" w14:textId="77777777" w:rsidR="00E106C7" w:rsidRPr="00074076" w:rsidRDefault="00E106C7" w:rsidP="00E106C7">
      <w:pPr>
        <w:numPr>
          <w:ilvl w:val="2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lastRenderedPageBreak/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Privacy Policy</w:t>
      </w:r>
    </w:p>
    <w:p w14:paraId="5484D629" w14:textId="77777777" w:rsidR="00E106C7" w:rsidRPr="00074076" w:rsidRDefault="00E106C7" w:rsidP="00E106C7">
      <w:pPr>
        <w:numPr>
          <w:ilvl w:val="2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Acceptable Use Policy;</w:t>
      </w:r>
    </w:p>
    <w:p w14:paraId="0718B612" w14:textId="77777777" w:rsidR="00E106C7" w:rsidRPr="00074076" w:rsidRDefault="00E106C7" w:rsidP="00E106C7">
      <w:pPr>
        <w:numPr>
          <w:ilvl w:val="2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Terms and Conditions applicable to a specific promotion.</w:t>
      </w:r>
    </w:p>
    <w:p w14:paraId="5A0D757A" w14:textId="77777777" w:rsidR="00E106C7" w:rsidRPr="00074076" w:rsidRDefault="00E106C7" w:rsidP="00E106C7">
      <w:pPr>
        <w:numPr>
          <w:ilvl w:val="2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The abovementioned terms and conditions, and policies are available and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accessible on </w:t>
      </w:r>
      <w:hyperlink r:id="rId5" w:history="1">
        <w:r w:rsidRPr="00390CB1">
          <w:rPr>
            <w:rStyle w:val="Hyperlink"/>
            <w:rFonts w:ascii="Helvetica" w:eastAsia="Times New Roman" w:hAnsi="Helvetica" w:cs="Helvetica"/>
            <w:sz w:val="24"/>
            <w:szCs w:val="24"/>
            <w:bdr w:val="none" w:sz="0" w:space="0" w:color="auto" w:frame="1"/>
            <w:lang w:eastAsia="en-ZA"/>
          </w:rPr>
          <w:t>www.refrme.app</w:t>
        </w:r>
        <w:r w:rsidRPr="00074076">
          <w:rPr>
            <w:rStyle w:val="Hyperlink"/>
            <w:rFonts w:ascii="Helvetica" w:eastAsia="Times New Roman" w:hAnsi="Helvetica" w:cs="Helvetica"/>
            <w:sz w:val="24"/>
            <w:szCs w:val="24"/>
            <w:bdr w:val="none" w:sz="0" w:space="0" w:color="auto" w:frame="1"/>
            <w:lang w:eastAsia="en-ZA"/>
          </w:rPr>
          <w:t>/Pages/Termsandconditions.aspx</w:t>
        </w:r>
      </w:hyperlink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.</w:t>
      </w:r>
    </w:p>
    <w:p w14:paraId="5160B837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This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offer will available from the 13th of December 2019 and until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in its sole and absolute discretion elects to discontinue the service.</w:t>
      </w:r>
    </w:p>
    <w:p w14:paraId="0687E93B" w14:textId="77777777" w:rsidR="00E106C7" w:rsidRPr="00074076" w:rsidRDefault="00E106C7" w:rsidP="00E106C7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What the Price Plan entails</w:t>
      </w:r>
    </w:p>
    <w:p w14:paraId="270B2858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The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service is offered as a capped data product, and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will not allow any Out-Of-Bundle data usage or charging.</w:t>
      </w:r>
    </w:p>
    <w:p w14:paraId="72177C60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The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price plans will receive both Anytime Data and Night Express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Data (same volume for both). The Night Express Data is available for use between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00:00 – 05:59 only.</w:t>
      </w:r>
    </w:p>
    <w:p w14:paraId="0A0B68DD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The standard inclusive (Anytime and Night Express Data) that remains unused at the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end of a billing cycle will carry over once. The Customer will not be allowed to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exceed more than 2 times the inclusive value at the beginning of a bill cycle.</w:t>
      </w:r>
    </w:p>
    <w:p w14:paraId="72C28EAB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The unused Top-Up value purchased from self-service channels – will carry over once.</w:t>
      </w:r>
    </w:p>
    <w:p w14:paraId="2CE832A7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The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data with the earliest expiry will deplete first, in the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following sequence:</w:t>
      </w:r>
    </w:p>
    <w:p w14:paraId="62EC064F" w14:textId="77777777" w:rsidR="00E106C7" w:rsidRPr="00074076" w:rsidRDefault="00E106C7" w:rsidP="00E106C7">
      <w:pPr>
        <w:numPr>
          <w:ilvl w:val="2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Night Express Data (only between 00:00 and 05:59)</w:t>
      </w:r>
    </w:p>
    <w:p w14:paraId="13BAF625" w14:textId="77777777" w:rsidR="00E106C7" w:rsidRPr="00074076" w:rsidRDefault="00E106C7" w:rsidP="00E106C7">
      <w:pPr>
        <w:numPr>
          <w:ilvl w:val="2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Unused Top-up data</w:t>
      </w:r>
    </w:p>
    <w:p w14:paraId="06819D12" w14:textId="77777777" w:rsidR="00E106C7" w:rsidRPr="00074076" w:rsidRDefault="00E106C7" w:rsidP="00E106C7">
      <w:pPr>
        <w:numPr>
          <w:ilvl w:val="2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Monthly any-time data rolled over from the previous month</w:t>
      </w:r>
    </w:p>
    <w:p w14:paraId="357374C9" w14:textId="77777777" w:rsidR="00E106C7" w:rsidRPr="00074076" w:rsidRDefault="00E106C7" w:rsidP="00E106C7">
      <w:pPr>
        <w:numPr>
          <w:ilvl w:val="2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Monthly any-time data allocated for that month</w:t>
      </w:r>
    </w:p>
    <w:p w14:paraId="2954142B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lastRenderedPageBreak/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inclusive value and Top-Up value can only be transferred between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accounts/users.</w:t>
      </w:r>
    </w:p>
    <w:p w14:paraId="19968499" w14:textId="77777777" w:rsidR="00E106C7" w:rsidRPr="00074076" w:rsidRDefault="00E106C7" w:rsidP="00E106C7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Placing of Orders</w:t>
      </w:r>
    </w:p>
    <w:p w14:paraId="3E69A64B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The Customer must comply with the Regulation of Interception of Communications and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Provision of Communication-related Information Act 70 of 2002 (“RICA”)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prior to a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Account being activated.</w:t>
      </w:r>
    </w:p>
    <w:p w14:paraId="761D5460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As per RICA, a </w:t>
      </w:r>
      <w:proofErr w:type="gramStart"/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Customer</w:t>
      </w:r>
      <w:proofErr w:type="gramEnd"/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must provide proof of full names, surname, Identity Document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number and residential address to a RICA officer when purchasing a SIM card.</w:t>
      </w:r>
    </w:p>
    <w:p w14:paraId="5E3ACB81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will allow the service to be activated when there is compliance with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RICA. Service Activation may take between 2 (two) and 24 (twenty-four) hours after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has received the RICA documents from the RICA officer.</w:t>
      </w:r>
    </w:p>
    <w:p w14:paraId="109DEB9C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SIM cards will be locked to a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approved range of devices. If other devices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are used, those devices will not be recognised by or register on the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F-LTE network.</w:t>
      </w:r>
    </w:p>
    <w:p w14:paraId="156467B0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SIM cards will be locked to the location for which the application was placed and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will not register to the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network if used in a different location.</w:t>
      </w:r>
    </w:p>
    <w:p w14:paraId="47EA7E43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The activation of the service will be considered acceptance of all the terms and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conditions applicable to the service.</w:t>
      </w:r>
    </w:p>
    <w:p w14:paraId="09FABA71" w14:textId="77777777" w:rsidR="00E106C7" w:rsidRPr="00074076" w:rsidRDefault="00E106C7" w:rsidP="00E106C7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Service Activation</w:t>
      </w:r>
    </w:p>
    <w:p w14:paraId="72CF3C51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The Customer must comply with the Regulation of Interception of Communications and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Provision of Communication-related Information Act 70 of 2002 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lastRenderedPageBreak/>
        <w:t>(“RICA”)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prior to a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Account being activated.</w:t>
      </w:r>
    </w:p>
    <w:p w14:paraId="1349E345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As per RICA, a </w:t>
      </w:r>
      <w:proofErr w:type="gramStart"/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Customer</w:t>
      </w:r>
      <w:proofErr w:type="gramEnd"/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must provide proof of full names, surname, Identity Document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number and residential address to a RICA officer when purchasing a SIM card.</w:t>
      </w:r>
    </w:p>
    <w:p w14:paraId="14A07AA7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will allow the service to be activated when there is compliance with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RICA. Service Activation may take between 2 (two) and 24 (twenty-four) hours after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has received the RICA documents from the RICA officer.</w:t>
      </w:r>
    </w:p>
    <w:p w14:paraId="6B8E0F10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SIM cards will be locked to a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approved range of devices. If other devices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are used, those devices will not be recognised by or register on the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F-LTE network.</w:t>
      </w:r>
    </w:p>
    <w:p w14:paraId="43E4D412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SIM cards will be locked to the location for which the application was placed and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will not register to the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network if used in a different location.</w:t>
      </w:r>
    </w:p>
    <w:p w14:paraId="3CA888BC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The activation of the service will be considered acceptance of all the terms and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conditions applicable to the service.</w:t>
      </w:r>
    </w:p>
    <w:p w14:paraId="2892781A" w14:textId="77777777" w:rsidR="00E106C7" w:rsidRPr="00074076" w:rsidRDefault="00E106C7" w:rsidP="00E106C7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Contract Commencement and Duration</w:t>
      </w:r>
    </w:p>
    <w:p w14:paraId="16165530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The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contract commences on the date of activation.</w:t>
      </w:r>
    </w:p>
    <w:p w14:paraId="71CEE0CF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The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SIM-only contract will remain in force on a month to month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basis until terminated by either party.</w:t>
      </w:r>
    </w:p>
    <w:p w14:paraId="28936541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Customers who sign up for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have the right to a cooling off period of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five (5) days from the day of service activation.</w:t>
      </w:r>
    </w:p>
    <w:p w14:paraId="39A0326D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During this period, the consumer may cancel the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contract (for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whatever reason) without penalty, subject to returning all hardware 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lastRenderedPageBreak/>
        <w:t>received as part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of the agreement and the payment of SIM, delivery and activation cost.</w:t>
      </w:r>
    </w:p>
    <w:p w14:paraId="51BB41D5" w14:textId="77777777" w:rsidR="00E106C7" w:rsidRPr="00074076" w:rsidRDefault="00E106C7" w:rsidP="00E106C7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Installation, Equipment and Connectivity</w:t>
      </w:r>
    </w:p>
    <w:p w14:paraId="17D9781A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The Customer will be provided an approved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router on a free-to-use basis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with each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package.</w:t>
      </w:r>
    </w:p>
    <w:p w14:paraId="0CE12A42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The delivery and SIM card will be provided free of charge.</w:t>
      </w:r>
    </w:p>
    <w:p w14:paraId="351ECAEB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The risk of loss, damage or theft of the router will transfer to the Customer upon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delivery of the equipment.</w:t>
      </w:r>
    </w:p>
    <w:p w14:paraId="795B61E6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Customers will be liable to pay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the replacement value of the router at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the time, in the event of loss or theft, thereof.</w:t>
      </w:r>
    </w:p>
    <w:p w14:paraId="41C7AE2A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In the event of theft or loss of a router and/or SIM card, the Customer has a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statutory obligation to report such loss or theft to the South African Police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Services immediately, and to request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to suspend such SIM Card.</w:t>
      </w:r>
    </w:p>
    <w:p w14:paraId="2471539B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will only make use of equipment and hardware that has been approved by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the Independent Communications Authority of South Africa (ICASA) and network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approved by MTN SA to provide its F-LTE services.</w:t>
      </w:r>
    </w:p>
    <w:p w14:paraId="2AA12CB0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Equipment supplied by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carries a warranty for defects for a period of 12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(twelve) months.</w:t>
      </w:r>
    </w:p>
    <w:p w14:paraId="043C2B71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The warranty only applies to manufacturer defects and not user-induced and/or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negligent damage; or damage caused by liquid or moisture intrusion.</w:t>
      </w:r>
    </w:p>
    <w:p w14:paraId="135B36D1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If equipment supplied by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becomes defective:</w:t>
      </w:r>
    </w:p>
    <w:p w14:paraId="2D529C36" w14:textId="77777777" w:rsidR="00E106C7" w:rsidRPr="00074076" w:rsidRDefault="00E106C7" w:rsidP="00E106C7">
      <w:pPr>
        <w:numPr>
          <w:ilvl w:val="2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the Customer must return the equipment to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.</w:t>
      </w:r>
    </w:p>
    <w:p w14:paraId="553F8481" w14:textId="77777777" w:rsidR="00E106C7" w:rsidRPr="00074076" w:rsidRDefault="00E106C7" w:rsidP="00E106C7">
      <w:pPr>
        <w:numPr>
          <w:ilvl w:val="2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will have the equipment repaired or replaced.</w:t>
      </w:r>
    </w:p>
    <w:p w14:paraId="00CB2E3F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reserves the right to replace equipment with refurbished equipment.</w:t>
      </w:r>
    </w:p>
    <w:p w14:paraId="0DB9D126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lastRenderedPageBreak/>
        <w:t>Faulty SIM cards will be replaced at no charge within the first 12 (twelve) months.</w:t>
      </w:r>
    </w:p>
    <w:p w14:paraId="2C99635E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will not perform any SIM-swaps</w:t>
      </w:r>
    </w:p>
    <w:p w14:paraId="1385D3D9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The Customer will be liable for repair or replacement cost to faulty equipment if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the damage to the equipment is user-induced.</w:t>
      </w:r>
    </w:p>
    <w:p w14:paraId="101CDAA1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Fair Usage: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reserves the right to stop or alter the Uncapped package service when it reaches 1TB of usage within a period of 1 billing month. A customer may top up via the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Customer Portal in this event.</w:t>
      </w:r>
    </w:p>
    <w:p w14:paraId="3DFC0374" w14:textId="77777777" w:rsidR="00E106C7" w:rsidRPr="00074076" w:rsidRDefault="00E106C7" w:rsidP="00E106C7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Billing and Payment</w:t>
      </w:r>
    </w:p>
    <w:p w14:paraId="081D5ABD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Subject to the conditions in 4 above being met, billing of the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account will be triggered once the SIM card has been activated.</w:t>
      </w:r>
    </w:p>
    <w:p w14:paraId="692EBB81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will bill the Customer for monthly subscription charges in advance from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the time the service has been activated.</w:t>
      </w:r>
    </w:p>
    <w:p w14:paraId="40DC4291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Where a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Account is activated before the start of the next billing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cycle, the Customer will be not liable for pro-rated subscription charges, but will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be allocated a pro-rated volume of data.</w:t>
      </w:r>
    </w:p>
    <w:p w14:paraId="5CF2946F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The Customer will be billed in advance for any additional hardware and services,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including Top-Up data purchases.</w:t>
      </w:r>
    </w:p>
    <w:p w14:paraId="61354568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The Customer must pay amounts due into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’s bank account within 2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(two) business days of the invoice date.</w:t>
      </w:r>
    </w:p>
    <w:p w14:paraId="53B493E0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If a </w:t>
      </w:r>
      <w:proofErr w:type="gramStart"/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Customer</w:t>
      </w:r>
      <w:proofErr w:type="gramEnd"/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pays by debit order or other electronic means, his bank or third party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is his agent. The Customers carries the risk of payment until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receives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payment into their account.</w:t>
      </w:r>
    </w:p>
    <w:p w14:paraId="5199E432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reserves the right to charge a debit order return fee of</w:t>
      </w:r>
      <w:r>
        <w:rPr>
          <w:rFonts w:ascii="Helvetica" w:eastAsia="Times New Roman" w:hAnsi="Helvetica" w:cs="Helvetica"/>
          <w:sz w:val="24"/>
          <w:szCs w:val="24"/>
          <w:lang w:eastAsia="en-ZA"/>
        </w:rPr>
        <w:t xml:space="preserve"> 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R1</w:t>
      </w:r>
      <w:r>
        <w:rPr>
          <w:rFonts w:ascii="Helvetica" w:eastAsia="Times New Roman" w:hAnsi="Helvetica" w:cs="Helvetica"/>
          <w:sz w:val="24"/>
          <w:szCs w:val="24"/>
          <w:lang w:eastAsia="en-ZA"/>
        </w:rPr>
        <w:t>5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,50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(excluding VAT) for each unsuccessful debit order transactions.</w:t>
      </w:r>
    </w:p>
    <w:p w14:paraId="17D43A9E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lastRenderedPageBreak/>
        <w:t xml:space="preserve">Where 2 consecutive debit orders are unsuccessful,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reserves the right to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automatically change the payment method to cash and effectively terminate the debit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order mandate.</w:t>
      </w:r>
    </w:p>
    <w:p w14:paraId="43D97AD1" w14:textId="77777777" w:rsidR="00E106C7" w:rsidRPr="00074076" w:rsidRDefault="00E106C7" w:rsidP="00E106C7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Suspension Rules</w:t>
      </w:r>
    </w:p>
    <w:p w14:paraId="09497F58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reserves the right to suspend billing and provisioning of recurring data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balances, with notice to the Customer, if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has not received payment in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full.</w:t>
      </w:r>
    </w:p>
    <w:p w14:paraId="63A6F728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Where a </w:t>
      </w:r>
      <w:proofErr w:type="gramStart"/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Customer’s</w:t>
      </w:r>
      <w:proofErr w:type="gramEnd"/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has been suspended, he will not have access to the internet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unless there is a carry-over of data which has not expired.</w:t>
      </w:r>
    </w:p>
    <w:p w14:paraId="1764AF79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A suspended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Account may be reactivated subject to payment of the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full outstanding amounts due.</w:t>
      </w:r>
    </w:p>
    <w:p w14:paraId="0CAC64B1" w14:textId="77777777" w:rsidR="00E106C7" w:rsidRPr="00074076" w:rsidRDefault="00E106C7" w:rsidP="00E106C7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Migration Rules</w:t>
      </w:r>
    </w:p>
    <w:p w14:paraId="4C9F8276" w14:textId="77777777" w:rsidR="00E106C7" w:rsidRPr="00074076" w:rsidRDefault="00E106C7" w:rsidP="00E106C7">
      <w:pPr>
        <w:spacing w:after="0" w:line="390" w:lineRule="atLeast"/>
        <w:ind w:left="1440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li&gt;Customers will not be allowed to migrate from a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price plan to any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MTN tariff plan and vice-versa.</w:t>
      </w:r>
    </w:p>
    <w:p w14:paraId="1E5CD07F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Customers may migrate to other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services like Fibre to the Home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subject to the applicable FTTH price plan terms and conditions including the availability of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a fibre network coverage in the applicable area.</w:t>
      </w:r>
    </w:p>
    <w:p w14:paraId="69B753A1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Data caps are non-transferable between carrier technologies, and customers who migrate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between capped and uncapped FTTH price plans and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price plans will forfeit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all available data for the price plan migrated from.</w:t>
      </w:r>
    </w:p>
    <w:p w14:paraId="391029DF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Customers will be allowed to migrate from legacy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packages to this new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offer subject to the cancellation clauses applicable those legacy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lastRenderedPageBreak/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packages, and will forfeit any unexpired data on those packages when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migrating to this new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offer.</w:t>
      </w:r>
    </w:p>
    <w:p w14:paraId="3C231672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Customers who signed up for legacy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packages with 24-month router contracts,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will be allowed to upgrade to these packages and the router agreement will be converted to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“free-to-use”. The customer will forfeit any monthly contributions to ownership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of the router prior to this migration.</w:t>
      </w:r>
    </w:p>
    <w:p w14:paraId="2920E35D" w14:textId="77777777" w:rsidR="00E106C7" w:rsidRPr="00074076" w:rsidRDefault="00E106C7" w:rsidP="00E106C7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Upgrade and Downgrade Rules</w:t>
      </w:r>
    </w:p>
    <w:p w14:paraId="6DBF395B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packages will not incur penalties or charges for upgrades or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downgrades.</w:t>
      </w:r>
    </w:p>
    <w:p w14:paraId="5C083857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The Customer will need to notify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in writing of upgrade or downgrade requests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by the 20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vertAlign w:val="superscript"/>
          <w:lang w:eastAsia="en-ZA"/>
        </w:rPr>
        <w:t>th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 of the month for the change to become effective from the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following billing period, subject to changes in base subscription costs.</w:t>
      </w:r>
    </w:p>
    <w:p w14:paraId="42664B2E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The subscriber shall retain any applicable carry-over data accumulation when upgrading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or downgrading.</w:t>
      </w:r>
    </w:p>
    <w:p w14:paraId="695EFAED" w14:textId="77777777" w:rsidR="00E106C7" w:rsidRPr="00074076" w:rsidRDefault="00E106C7" w:rsidP="00E106C7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Relocation Rules</w:t>
      </w:r>
    </w:p>
    <w:p w14:paraId="7BCD406B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If a </w:t>
      </w:r>
      <w:proofErr w:type="gramStart"/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Customer</w:t>
      </w:r>
      <w:proofErr w:type="gramEnd"/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changes their physical location from an area with F-LTE coverage to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another with F-LTE coverage,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will require an update of location in the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register used for location locking on the network. Customers will be required to notify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of the intention to move 30-days before moving, and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will only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allow the Customer to move a maximum of 4 (four) times in a one-year cycle.</w:t>
      </w:r>
    </w:p>
    <w:p w14:paraId="0C2D3F69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Where a </w:t>
      </w:r>
      <w:proofErr w:type="gramStart"/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Customers</w:t>
      </w:r>
      <w:proofErr w:type="gramEnd"/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changes locations to an area that does not have F-LTE coverage, he/she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must cancel the contract. Cancellations are subject to cancellation 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lastRenderedPageBreak/>
        <w:t>charges for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Customers on a 24-month contract.</w:t>
      </w:r>
    </w:p>
    <w:p w14:paraId="3EE66068" w14:textId="77777777" w:rsidR="00E106C7" w:rsidRPr="00074076" w:rsidRDefault="00E106C7" w:rsidP="00E106C7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Cancellation Rules</w:t>
      </w:r>
    </w:p>
    <w:p w14:paraId="270D57A4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The Customer may cancel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at any time by giving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notice of one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calendar month.</w:t>
      </w:r>
    </w:p>
    <w:p w14:paraId="45E7EA98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The notice must be communicated via e-mail to </w:t>
      </w:r>
      <w:hyperlink r:id="rId6" w:history="1">
        <w:r w:rsidRPr="00074076">
          <w:rPr>
            <w:rStyle w:val="Hyperlink"/>
            <w:rFonts w:ascii="Helvetica" w:eastAsia="Times New Roman" w:hAnsi="Helvetica" w:cs="Helvetica"/>
            <w:sz w:val="24"/>
            <w:szCs w:val="24"/>
            <w:bdr w:val="none" w:sz="0" w:space="0" w:color="auto" w:frame="1"/>
            <w:lang w:eastAsia="en-ZA"/>
          </w:rPr>
          <w:t>cancellations@</w:t>
        </w:r>
        <w:r w:rsidRPr="00390CB1">
          <w:rPr>
            <w:rStyle w:val="Hyperlink"/>
            <w:rFonts w:ascii="Helvetica" w:eastAsia="Times New Roman" w:hAnsi="Helvetica" w:cs="Helvetica"/>
            <w:sz w:val="24"/>
            <w:szCs w:val="24"/>
            <w:bdr w:val="none" w:sz="0" w:space="0" w:color="auto" w:frame="1"/>
            <w:lang w:eastAsia="en-ZA"/>
          </w:rPr>
          <w:t>RefrMe.app</w:t>
        </w:r>
      </w:hyperlink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.</w:t>
      </w:r>
    </w:p>
    <w:p w14:paraId="6D1FB603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Customers who cancel a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service agreement will be liable to return the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router to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at their cost upon cancellation, in a reasonable and working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condition, or be charged the replacement value of the router at time of cancellation.</w:t>
      </w:r>
    </w:p>
    <w:p w14:paraId="74968766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Cancellation within the first six (6) months of initial activation of a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service </w:t>
      </w:r>
      <w:proofErr w:type="gramStart"/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agreement ,</w:t>
      </w:r>
      <w:proofErr w:type="gramEnd"/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will incur an additional charge of R600 (incl. VAT) which is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amortised over the said six (6) month term.</w:t>
      </w:r>
    </w:p>
    <w:p w14:paraId="4DD54D10" w14:textId="77777777" w:rsidR="00E106C7" w:rsidRPr="00074076" w:rsidRDefault="00E106C7" w:rsidP="00E106C7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Transfer and Change of Ownership</w:t>
      </w:r>
    </w:p>
    <w:p w14:paraId="0AFA4624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The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Price Plan is not transferable</w:t>
      </w:r>
    </w:p>
    <w:p w14:paraId="3E619910" w14:textId="77777777" w:rsidR="00E106C7" w:rsidRPr="00074076" w:rsidRDefault="00E106C7" w:rsidP="00E106C7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Service: Interruptions and Support</w:t>
      </w:r>
    </w:p>
    <w:p w14:paraId="4139C751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Due to the nature of the mobile network,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makes no guarantees on service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quality and availability.</w:t>
      </w:r>
    </w:p>
    <w:p w14:paraId="60A0335C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will not be held responsible for a service being interrupted and/or failing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due to an interruption in the network or any other reason.</w:t>
      </w:r>
    </w:p>
    <w:p w14:paraId="7CDF2E74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The Customer is ultimately responsible for his/her use of the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service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from the activation of the services. Therefore,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, will not be held liable for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any loss or damage that results from the use of the services.</w:t>
      </w:r>
    </w:p>
    <w:p w14:paraId="190616C6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reserves the right, in its sole and absolute discretion, to terminate or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lastRenderedPageBreak/>
        <w:t xml:space="preserve">suspend the Customers services or access to the network services where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suspects abuse of its network,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F-LTE, any of its services, fraud, criminal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activity or where the Customer’s participation is placing an unreasonable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constraint on the MTN network which may impact the experience of other MTN Customers.</w:t>
      </w:r>
    </w:p>
    <w:p w14:paraId="19A45C82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The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contact centre is available on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WhatsApp </w:t>
      </w:r>
      <w:r>
        <w:rPr>
          <w:rFonts w:ascii="Helvetica" w:eastAsia="Times New Roman" w:hAnsi="Helvetica" w:cs="Helvetica"/>
          <w:sz w:val="24"/>
          <w:szCs w:val="24"/>
          <w:lang w:eastAsia="en-ZA"/>
        </w:rPr>
        <w:t>0684577485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during the following time periods:</w:t>
      </w:r>
    </w:p>
    <w:p w14:paraId="517DB201" w14:textId="77777777" w:rsidR="00E106C7" w:rsidRPr="00074076" w:rsidRDefault="00E106C7" w:rsidP="00E106C7">
      <w:pPr>
        <w:numPr>
          <w:ilvl w:val="2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weekdays between 8AM and 8PM; and</w:t>
      </w:r>
    </w:p>
    <w:p w14:paraId="5E22B4D7" w14:textId="77777777" w:rsidR="00E106C7" w:rsidRPr="00074076" w:rsidRDefault="00E106C7" w:rsidP="00E106C7">
      <w:pPr>
        <w:numPr>
          <w:ilvl w:val="2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weekends and public holidays between 8Am and 5PM.</w:t>
      </w:r>
    </w:p>
    <w:p w14:paraId="74808C32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Where a call out can be attributed to a fault caused by the Customer, the Customer will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be charged a call out fee.</w:t>
      </w:r>
    </w:p>
    <w:p w14:paraId="028F502E" w14:textId="77777777" w:rsidR="00E106C7" w:rsidRPr="00074076" w:rsidRDefault="00E106C7" w:rsidP="00E106C7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Changes to the Service and, Terms and Conditions</w:t>
      </w:r>
    </w:p>
    <w:p w14:paraId="4F03AB7C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reserves the right at any time to modify, suspend or discontinue the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services, with notice, without liability to the Customer or any third party.</w:t>
      </w:r>
    </w:p>
    <w:p w14:paraId="5AD6856C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reserves the right from time to time to vary the charges of these services as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may be deemed necessary in its discretion, with notice</w:t>
      </w:r>
    </w:p>
    <w:p w14:paraId="72C954C0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The Customer must visit</w:t>
      </w:r>
      <w:r>
        <w:rPr>
          <w:rFonts w:ascii="Helvetica" w:eastAsia="Times New Roman" w:hAnsi="Helvetica" w:cs="Helvetica"/>
          <w:sz w:val="24"/>
          <w:szCs w:val="24"/>
          <w:lang w:eastAsia="en-ZA"/>
        </w:rPr>
        <w:t xml:space="preserve">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website regularly for notices, updates and/or changes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to products and services.</w:t>
      </w:r>
    </w:p>
    <w:p w14:paraId="30C545C2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As changes will be posted on the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website, the Customers continued use of the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products and/or services will be deemed acceptance of the amended rules.</w:t>
      </w:r>
    </w:p>
    <w:p w14:paraId="1B11EEA2" w14:textId="77777777" w:rsidR="00E106C7" w:rsidRPr="00074076" w:rsidRDefault="00E106C7" w:rsidP="00E106C7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Limitation of Liability</w:t>
      </w:r>
    </w:p>
    <w:p w14:paraId="19FC7773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Subject to a fixed limit,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only accepts liability for </w:t>
      </w: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direct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loss or damages suffered by the Customer, for which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is responsible for in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terms of law, with the exception of loss or damages (direct or indirect) caused by:</w:t>
      </w:r>
    </w:p>
    <w:p w14:paraId="057F2BE8" w14:textId="77777777" w:rsidR="00E106C7" w:rsidRPr="00074076" w:rsidRDefault="00E106C7" w:rsidP="00E106C7">
      <w:pPr>
        <w:numPr>
          <w:ilvl w:val="2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lastRenderedPageBreak/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’s failure to supply or deliver equipment or services on the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required date and/or time.</w:t>
      </w:r>
    </w:p>
    <w:p w14:paraId="7AC40E70" w14:textId="77777777" w:rsidR="00E106C7" w:rsidRPr="00074076" w:rsidRDefault="00E106C7" w:rsidP="00E106C7">
      <w:pPr>
        <w:numPr>
          <w:ilvl w:val="2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The suspension, interruption or cancellation of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through no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negligent or failure by </w:t>
      </w:r>
      <w:r w:rsidRPr="00074076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(and its representatives and agents).</w:t>
      </w:r>
    </w:p>
    <w:p w14:paraId="4E6AD081" w14:textId="77777777" w:rsidR="00E106C7" w:rsidRPr="00074076" w:rsidRDefault="00E106C7" w:rsidP="00E106C7">
      <w:pPr>
        <w:numPr>
          <w:ilvl w:val="2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The legal suspension of the Customer’s 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F-LTE.</w:t>
      </w:r>
    </w:p>
    <w:p w14:paraId="72CDBB67" w14:textId="77777777" w:rsidR="00E106C7" w:rsidRPr="00074076" w:rsidRDefault="00E106C7" w:rsidP="00E106C7">
      <w:pPr>
        <w:numPr>
          <w:ilvl w:val="2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Any acts or omissions by 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and its representatives or agents, that are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beyond its control.</w:t>
      </w:r>
    </w:p>
    <w:p w14:paraId="599B56C0" w14:textId="77777777" w:rsidR="00E106C7" w:rsidRPr="00074076" w:rsidRDefault="00E106C7" w:rsidP="00E106C7">
      <w:pPr>
        <w:numPr>
          <w:ilvl w:val="2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The Customer’s use of any equipment supplied to him by 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.</w:t>
      </w:r>
    </w:p>
    <w:p w14:paraId="375BF92A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’s cumulative maximum liability for all claims, actions. Demands and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proceedings, irrespective of the cause, is limited to one month’s subscription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 xml:space="preserve">payable in terms of the </w:t>
      </w: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F-LTE contract.</w:t>
      </w:r>
    </w:p>
    <w:p w14:paraId="5E728BEF" w14:textId="77777777" w:rsidR="00E106C7" w:rsidRPr="00074076" w:rsidRDefault="00E106C7" w:rsidP="00E106C7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en-ZA"/>
        </w:rPr>
        <w:t>Complaints Handling Procedure</w:t>
      </w:r>
    </w:p>
    <w:p w14:paraId="6B6F3B32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has a complaints resolution procedure that aims to address any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dissatisfaction with its products and services.</w:t>
      </w:r>
    </w:p>
    <w:p w14:paraId="253ED22B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Complaints can be communicated via email and on our social media pages.</w:t>
      </w:r>
    </w:p>
    <w:p w14:paraId="76118FC3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will acknowledge your complaint within 48 hours and provide the Customer with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a reference number.</w:t>
      </w:r>
    </w:p>
    <w:p w14:paraId="1AC52B5F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ZA"/>
        </w:rPr>
        <w:t>RefrMe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 xml:space="preserve"> will investigate and provide feedback on the complaint within 14 calendars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days.</w:t>
      </w:r>
    </w:p>
    <w:p w14:paraId="191D94FC" w14:textId="77777777" w:rsidR="00E106C7" w:rsidRPr="00074076" w:rsidRDefault="00E106C7" w:rsidP="00E106C7">
      <w:pPr>
        <w:numPr>
          <w:ilvl w:val="1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If the Customer is not satisfied with the resolution of the complaint, he/she has the</w:t>
      </w: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br/>
        <w:t>right to refer the matter to:</w:t>
      </w:r>
    </w:p>
    <w:p w14:paraId="1EE9473D" w14:textId="77777777" w:rsidR="00E106C7" w:rsidRPr="00074076" w:rsidRDefault="00E106C7" w:rsidP="00E106C7">
      <w:pPr>
        <w:numPr>
          <w:ilvl w:val="2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The Internet Service Provider’s Association (ISPA) on </w:t>
      </w:r>
      <w:hyperlink r:id="rId7" w:history="1">
        <w:r w:rsidRPr="0007407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en-ZA"/>
          </w:rPr>
          <w:t>queries@ispa.org.za</w:t>
        </w:r>
      </w:hyperlink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; or</w:t>
      </w:r>
    </w:p>
    <w:p w14:paraId="765EB1C5" w14:textId="77777777" w:rsidR="00E106C7" w:rsidRPr="00074076" w:rsidRDefault="00E106C7" w:rsidP="00E106C7">
      <w:pPr>
        <w:numPr>
          <w:ilvl w:val="2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  <w:lang w:eastAsia="en-ZA"/>
        </w:rPr>
      </w:pPr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lastRenderedPageBreak/>
        <w:t>the Independent Communications Authority to South Africa (ICASA) on </w:t>
      </w:r>
      <w:hyperlink r:id="rId8" w:history="1">
        <w:r w:rsidRPr="0007407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en-ZA"/>
          </w:rPr>
          <w:t>icasa.org.za</w:t>
        </w:r>
      </w:hyperlink>
      <w:r w:rsidRPr="00074076">
        <w:rPr>
          <w:rFonts w:ascii="Helvetica" w:eastAsia="Times New Roman" w:hAnsi="Helvetica" w:cs="Helvetica"/>
          <w:sz w:val="24"/>
          <w:szCs w:val="24"/>
          <w:lang w:eastAsia="en-ZA"/>
        </w:rPr>
        <w:t>.</w:t>
      </w:r>
    </w:p>
    <w:p w14:paraId="29D6BEC4" w14:textId="77777777" w:rsidR="00E106C7" w:rsidRDefault="00E106C7" w:rsidP="00E106C7"/>
    <w:p w14:paraId="2AC7546A" w14:textId="77777777" w:rsidR="00206DD2" w:rsidRDefault="00206DD2"/>
    <w:sectPr w:rsidR="00206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A1B"/>
    <w:multiLevelType w:val="multilevel"/>
    <w:tmpl w:val="A720F8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047CB"/>
    <w:multiLevelType w:val="multilevel"/>
    <w:tmpl w:val="F5823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C7"/>
    <w:rsid w:val="00206DD2"/>
    <w:rsid w:val="00E1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874D0D"/>
  <w15:chartTrackingRefBased/>
  <w15:docId w15:val="{046A1FFE-0A1B-4292-9E25-96AC3D79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6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asa.org.z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ueries@ispa.org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ncellations@RefrMe.app" TargetMode="External"/><Relationship Id="rId5" Type="http://schemas.openxmlformats.org/officeDocument/2006/relationships/hyperlink" Target="http://www.refrme.app/Pages/Termsandconditions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2492</Words>
  <Characters>14206</Characters>
  <Application>Microsoft Office Word</Application>
  <DocSecurity>0</DocSecurity>
  <Lines>118</Lines>
  <Paragraphs>33</Paragraphs>
  <ScaleCrop>false</ScaleCrop>
  <Company/>
  <LinksUpToDate>false</LinksUpToDate>
  <CharactersWithSpaces>16665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Maanda Netshaanda</dc:creator>
  <cp:keywords/>
  <dc:description/>
  <cp:lastModifiedBy>Maanda Netshaanda</cp:lastModifiedBy>
  <cp:revision>1</cp:revision>
  <dcterms:created xsi:type="dcterms:W3CDTF">2021-08-31T00:44:00Z</dcterms:created>
  <dcterms:modified xsi:type="dcterms:W3CDTF">2021-08-31T00:45:00Z</dcterms:modified>
</cp:coreProperties>
</file>