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38"/>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Informe de Proyecto: Clasificación de Imágenes de Frutas Frescas y Podridas con PyTorch</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1. Introducción y presentaci</w:t>
      </w:r>
      <w:r>
        <w:rPr>
          <w:rFonts w:ascii="Open Sans" w:hAnsi="Open Sans" w:eastAsia="Open Sans" w:cs="Open Sans"/>
          <w:b/>
          <w:color w:val="000000"/>
          <w:sz w:val="20"/>
          <w:szCs w:val="20"/>
        </w:rPr>
        <w:t xml:space="preserve">ó</w:t>
      </w:r>
      <w:r>
        <w:rPr>
          <w:rFonts w:ascii="Open Sans" w:hAnsi="Open Sans" w:eastAsia="Open Sans" w:cs="Open Sans"/>
          <w:b/>
          <w:color w:val="000000"/>
          <w:sz w:val="20"/>
          <w:szCs w:val="20"/>
        </w:rPr>
        <w:t xml:space="preserve">n</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Este proyecto tiene como objetivo aplicar los conocimientos adquiridos durante el curso de PyTorch para abordar diferentes desafíos en el análisis de imágenes, avanzando progresivamente desde tareas básicas de clasificación hasta aplicaciones más complejas</w:t>
      </w:r>
      <w:r>
        <w:rPr>
          <w:rFonts w:ascii="Open Sans" w:hAnsi="Open Sans" w:eastAsia="Open Sans" w:cs="Open Sans"/>
          <w:color w:val="000000"/>
          <w:sz w:val="20"/>
          <w:szCs w:val="20"/>
        </w:rPr>
        <w:t xml:space="preserve"> y realistas.</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En una primera etapa, se trabajó con el dataset </w:t>
      </w:r>
      <w:r>
        <w:rPr>
          <w:rFonts w:ascii="Open Sans" w:hAnsi="Open Sans" w:eastAsia="Open Sans" w:cs="Open Sans"/>
          <w:b/>
          <w:color w:val="000000"/>
          <w:sz w:val="20"/>
          <w:szCs w:val="20"/>
        </w:rPr>
        <w:t xml:space="preserve">Fruit Image Dataset: Fresh and Rotten Fruits</w:t>
      </w:r>
      <w:r>
        <w:rPr>
          <w:rFonts w:ascii="Open Sans" w:hAnsi="Open Sans" w:eastAsia="Open Sans" w:cs="Open Sans"/>
          <w:color w:val="000000"/>
          <w:sz w:val="20"/>
          <w:szCs w:val="20"/>
        </w:rPr>
        <w:t xml:space="preserve">, compuesto por imágenes de frutas clasificadas en seis categorías: manzanas, bananas y naranjas, tanto en estado fresco como podrido. Este conjunto de datos está organizado en carpetas separadas para entrenamiento y prueba. Utilizando este dataset, se ent</w:t>
      </w:r>
      <w:r>
        <w:rPr>
          <w:rFonts w:ascii="Open Sans" w:hAnsi="Open Sans" w:eastAsia="Open Sans" w:cs="Open Sans"/>
          <w:color w:val="000000"/>
          <w:sz w:val="20"/>
          <w:szCs w:val="20"/>
        </w:rPr>
        <w:t xml:space="preserve">renó una red neuronal convolucional (CNN) desde cero, con el fin de desarrollar un modelo capaz de distinguir entre las diferentes clases de frutas. Esta fase incluyó el preprocesamiento de datos, el diseño del modelo, el entrenamiento, la evaluación y la </w:t>
      </w:r>
      <w:r>
        <w:rPr>
          <w:rFonts w:ascii="Open Sans" w:hAnsi="Open Sans" w:eastAsia="Open Sans" w:cs="Open Sans"/>
          <w:color w:val="000000"/>
          <w:sz w:val="20"/>
          <w:szCs w:val="20"/>
        </w:rPr>
        <w:t xml:space="preserve">visualización de resultados.</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Posteriormente, con el propósito de profundizar en el análisis de imágenes y aplicar técnicas más avanzadas vistas durante el curso, se utilizó un modelo </w:t>
      </w:r>
      <w:r>
        <w:rPr>
          <w:rFonts w:ascii="Open Sans" w:hAnsi="Open Sans" w:eastAsia="Open Sans" w:cs="Open Sans"/>
          <w:b/>
          <w:color w:val="000000"/>
          <w:sz w:val="20"/>
          <w:szCs w:val="20"/>
        </w:rPr>
        <w:t xml:space="preserve">preentrenado</w:t>
      </w:r>
      <w:r>
        <w:rPr>
          <w:rFonts w:ascii="Open Sans" w:hAnsi="Open Sans" w:eastAsia="Open Sans" w:cs="Open Sans"/>
          <w:color w:val="000000"/>
          <w:sz w:val="20"/>
          <w:szCs w:val="20"/>
        </w:rPr>
        <w:t xml:space="preserve"> adaptado con </w:t>
      </w:r>
      <w:r>
        <w:rPr>
          <w:rFonts w:ascii="Open Sans" w:hAnsi="Open Sans" w:eastAsia="Open Sans" w:cs="Open Sans"/>
          <w:b/>
          <w:color w:val="000000"/>
          <w:sz w:val="20"/>
          <w:szCs w:val="20"/>
        </w:rPr>
        <w:t xml:space="preserve">EfficientNet</w:t>
      </w:r>
      <w:r>
        <w:rPr>
          <w:rFonts w:ascii="Open Sans" w:hAnsi="Open Sans" w:eastAsia="Open Sans" w:cs="Open Sans"/>
          <w:color w:val="000000"/>
          <w:sz w:val="20"/>
          <w:szCs w:val="20"/>
        </w:rPr>
        <w:t xml:space="preserve">. Este modelo fue ajustado para clasificar las mismas seis clases del dataset de frutas. Además, se añadió la funcionalidad de analizar imágenes externas, y se incorporó </w:t>
      </w:r>
      <w:r>
        <w:rPr>
          <w:rFonts w:ascii="Open Sans" w:hAnsi="Open Sans" w:eastAsia="Open Sans" w:cs="Open Sans"/>
          <w:b/>
          <w:color w:val="000000"/>
          <w:sz w:val="20"/>
          <w:szCs w:val="20"/>
        </w:rPr>
        <w:t xml:space="preserve">Grad-CAM</w:t>
      </w:r>
      <w:r>
        <w:rPr>
          <w:rFonts w:ascii="Open Sans" w:hAnsi="Open Sans" w:eastAsia="Open Sans" w:cs="Open Sans"/>
          <w:color w:val="000000"/>
          <w:sz w:val="20"/>
          <w:szCs w:val="20"/>
        </w:rPr>
        <w:t xml:space="preserve"> como técnica de visualización para interpretar en qué regiones de la imagen se enfocaba el modelo al tomar sus decisiones.</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Avanzando en complejidad, se implementó un modelo </w:t>
      </w:r>
      <w:r>
        <w:rPr>
          <w:rFonts w:ascii="Open Sans" w:hAnsi="Open Sans" w:eastAsia="Open Sans" w:cs="Open Sans"/>
          <w:b/>
          <w:color w:val="000000"/>
          <w:sz w:val="20"/>
          <w:szCs w:val="20"/>
        </w:rPr>
        <w:t xml:space="preserve">DETR (DEtection TRansformer)</w:t>
      </w:r>
      <w:r>
        <w:rPr>
          <w:rFonts w:ascii="Open Sans" w:hAnsi="Open Sans" w:eastAsia="Open Sans" w:cs="Open Sans"/>
          <w:color w:val="000000"/>
          <w:sz w:val="20"/>
          <w:szCs w:val="20"/>
        </w:rPr>
        <w:t xml:space="preserve"> apoyado por una red </w:t>
      </w:r>
      <w:r>
        <w:rPr>
          <w:rFonts w:ascii="Open Sans" w:hAnsi="Open Sans" w:eastAsia="Open Sans" w:cs="Open Sans"/>
          <w:b/>
          <w:color w:val="000000"/>
          <w:sz w:val="20"/>
          <w:szCs w:val="20"/>
        </w:rPr>
        <w:t xml:space="preserve">ResNet-50</w:t>
      </w:r>
      <w:r>
        <w:rPr>
          <w:rFonts w:ascii="Open Sans" w:hAnsi="Open Sans" w:eastAsia="Open Sans" w:cs="Open Sans"/>
          <w:color w:val="000000"/>
          <w:sz w:val="20"/>
          <w:szCs w:val="20"/>
        </w:rPr>
        <w:t xml:space="preserve">, entrenado con las clases del conjunto </w:t>
      </w:r>
      <w:r>
        <w:rPr>
          <w:rFonts w:ascii="Open Sans" w:hAnsi="Open Sans" w:eastAsia="Open Sans" w:cs="Open Sans"/>
          <w:b/>
          <w:color w:val="000000"/>
          <w:sz w:val="20"/>
          <w:szCs w:val="20"/>
        </w:rPr>
        <w:t xml:space="preserve">COCO</w:t>
      </w:r>
      <w:r>
        <w:rPr>
          <w:rFonts w:ascii="Open Sans" w:hAnsi="Open Sans" w:eastAsia="Open Sans" w:cs="Open Sans"/>
          <w:color w:val="000000"/>
          <w:sz w:val="20"/>
          <w:szCs w:val="20"/>
        </w:rPr>
        <w:t xml:space="preserve">, para realizar tareas de detección de objetos en imágenes. Esta herramienta nos permitió no solo clasificar, sino también localizar visualmente objetos dentro de una imagen.</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Con este conocimiento, se aplicó el modelo a la detección de objetos en </w:t>
      </w:r>
      <w:r>
        <w:rPr>
          <w:rFonts w:ascii="Open Sans" w:hAnsi="Open Sans" w:eastAsia="Open Sans" w:cs="Open Sans"/>
          <w:b/>
          <w:color w:val="000000"/>
          <w:sz w:val="20"/>
          <w:szCs w:val="20"/>
        </w:rPr>
        <w:t xml:space="preserve">videos</w:t>
      </w:r>
      <w:r>
        <w:rPr>
          <w:rFonts w:ascii="Open Sans" w:hAnsi="Open Sans" w:eastAsia="Open Sans" w:cs="Open Sans"/>
          <w:color w:val="000000"/>
          <w:sz w:val="20"/>
          <w:szCs w:val="20"/>
        </w:rPr>
        <w:t xml:space="preserve">, lo cual representa un paso importante hacia aplicaciones prácticas más dinámicas y exigentes.</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Finalmente, comentamos  sobre una posible implementación en la vida real: la integración de estos modelos en sistemas de </w:t>
      </w:r>
      <w:r>
        <w:rPr>
          <w:rFonts w:ascii="Open Sans" w:hAnsi="Open Sans" w:eastAsia="Open Sans" w:cs="Open Sans"/>
          <w:b/>
          <w:color w:val="000000"/>
          <w:sz w:val="20"/>
          <w:szCs w:val="20"/>
        </w:rPr>
        <w:t xml:space="preserve">visión artificial para robots o máquinas</w:t>
      </w:r>
      <w:r>
        <w:rPr>
          <w:rFonts w:ascii="Open Sans" w:hAnsi="Open Sans" w:eastAsia="Open Sans" w:cs="Open Sans"/>
          <w:color w:val="000000"/>
          <w:sz w:val="20"/>
          <w:szCs w:val="20"/>
        </w:rPr>
        <w:t xml:space="preserve">, permitiendo que puedan interpretar su entorno a partir de imágenes en tiempo real. Esta capacidad de análisis visual abre la puerta a aplicaciones en automatización, agricultura, manufactura y más.</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En resumen, este proyecto ha permitido explorar y aplicar múltiples técnicas de visión por computadora utilizando PyTorch, partiendo de tareas básicas de clasificación y llegando hasta la detección avanzada en video, demostrando cómo estas herramientas pue</w:t>
      </w:r>
      <w:r>
        <w:rPr>
          <w:rFonts w:ascii="Open Sans" w:hAnsi="Open Sans" w:eastAsia="Open Sans" w:cs="Open Sans"/>
          <w:color w:val="000000"/>
          <w:sz w:val="20"/>
          <w:szCs w:val="20"/>
        </w:rPr>
        <w:t xml:space="preserve">den escalarse y adaptarse a distintos contextos, incluyendo escenarios del mundo real.</w:t>
      </w: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cs="Open Sans"/>
          <w:sz w:val="20"/>
          <w:szCs w:val="20"/>
        </w:rPr>
      </w:r>
      <w:r>
        <w:rPr>
          <w:rFonts w:ascii="Open Sans" w:hAnsi="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color w:val="000000"/>
          <w:sz w:val="20"/>
          <w:szCs w:val="20"/>
          <w:highlight w:val="none"/>
        </w:rPr>
      </w:pPr>
      <w:r>
        <w:rPr>
          <w:rFonts w:ascii="Open Sans" w:hAnsi="Open Sans" w:eastAsia="Open Sans" w:cs="Open Sans"/>
          <w:color w:val="000000"/>
          <w:sz w:val="20"/>
          <w:szCs w:val="20"/>
        </w:rPr>
        <w:t xml:space="preserve">Parte 1: </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1.Descripción del Dataset</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conjunto de datos utilizado en este proyecto se titula </w:t>
      </w:r>
      <w:r>
        <w:rPr>
          <w:rFonts w:ascii="Open Sans" w:hAnsi="Open Sans" w:eastAsia="Open Sans" w:cs="Open Sans"/>
          <w:b/>
          <w:color w:val="000000"/>
          <w:sz w:val="20"/>
          <w:szCs w:val="20"/>
        </w:rPr>
        <w:t xml:space="preserve">"Fruit Image Dataset: Fresh and Rotten Fruits"</w:t>
      </w:r>
      <w:r>
        <w:rPr>
          <w:rFonts w:ascii="Open Sans" w:hAnsi="Open Sans" w:eastAsia="Open Sans" w:cs="Open Sans"/>
          <w:color w:val="000000"/>
          <w:sz w:val="20"/>
          <w:szCs w:val="20"/>
        </w:rPr>
        <w:t xml:space="preserve"> y ha sido diseñado específicamente para tareas de clasificación de imágenes relacionadas con la calidad de frutas. Este dataset es ideal para entrenar modelos de aprendizaje profundo que permitan diferenciar entre frutas en buen estado (frescas) y frutas </w:t>
      </w:r>
      <w:r>
        <w:rPr>
          <w:rFonts w:ascii="Open Sans" w:hAnsi="Open Sans" w:eastAsia="Open Sans" w:cs="Open Sans"/>
          <w:color w:val="000000"/>
          <w:sz w:val="20"/>
          <w:szCs w:val="20"/>
        </w:rPr>
        <w:t xml:space="preserve">en mal estado (podridas), lo cual tiene aplicaciones prácticas en áreas como la agricultura, el control de calidad en supermercados o fábricas de procesamiento de alimentos.</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Estructura del Dataset</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dataset está organizado en dos carpetas principales:</w:t>
      </w:r>
      <w:r>
        <w:rPr>
          <w:rFonts w:ascii="Open Sans" w:hAnsi="Open Sans" w:eastAsia="Open Sans" w:cs="Open Sans"/>
          <w:sz w:val="20"/>
          <w:szCs w:val="20"/>
        </w:rPr>
      </w:r>
    </w:p>
    <w:p>
      <w:pPr>
        <w:pStyle w:val="664"/>
        <w:numPr>
          <w:ilvl w:val="0"/>
          <w:numId w:val="11"/>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train/</w:t>
      </w:r>
      <w:r>
        <w:rPr>
          <w:rFonts w:ascii="Open Sans" w:hAnsi="Open Sans" w:eastAsia="Open Sans" w:cs="Open Sans"/>
          <w:color w:val="000000"/>
          <w:sz w:val="20"/>
          <w:szCs w:val="20"/>
        </w:rPr>
        <w:t xml:space="preserve">: contiene las imágenes utilizadas para entrenar y validar el modelo.</w:t>
      </w:r>
      <w:r>
        <w:rPr>
          <w:rFonts w:ascii="Open Sans" w:hAnsi="Open Sans" w:eastAsia="Open Sans" w:cs="Open Sans"/>
          <w:sz w:val="20"/>
          <w:szCs w:val="20"/>
        </w:rPr>
      </w:r>
    </w:p>
    <w:p>
      <w:pPr>
        <w:pStyle w:val="664"/>
        <w:numPr>
          <w:ilvl w:val="0"/>
          <w:numId w:val="11"/>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test/</w:t>
      </w:r>
      <w:r>
        <w:rPr>
          <w:rFonts w:ascii="Open Sans" w:hAnsi="Open Sans" w:eastAsia="Open Sans" w:cs="Open Sans"/>
          <w:color w:val="000000"/>
          <w:sz w:val="20"/>
          <w:szCs w:val="20"/>
        </w:rPr>
        <w:t xml:space="preserve">: contiene las imágenes destinadas a evaluar el rendimiento final del modelo una vez entrenado.</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Dentro de cada una de estas carpetas, las imágenes están clasificadas en seis subcarpetas, correspondientes a las siguientes clases: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freshapples/</w:t>
      </w:r>
      <w:r>
        <w:rPr>
          <w:rFonts w:ascii="Open Sans" w:hAnsi="Open Sans" w:eastAsia="Open Sans" w:cs="Open Sans"/>
          <w:color w:val="000000"/>
          <w:sz w:val="20"/>
          <w:szCs w:val="20"/>
        </w:rPr>
        <w:t xml:space="preserve">: manzanas frescas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freshbanana/</w:t>
      </w:r>
      <w:r>
        <w:rPr>
          <w:rFonts w:ascii="Open Sans" w:hAnsi="Open Sans" w:eastAsia="Open Sans" w:cs="Open Sans"/>
          <w:color w:val="000000"/>
          <w:sz w:val="20"/>
          <w:szCs w:val="20"/>
        </w:rPr>
        <w:t xml:space="preserve">: bananas frescas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freshoranges/</w:t>
      </w:r>
      <w:r>
        <w:rPr>
          <w:rFonts w:ascii="Open Sans" w:hAnsi="Open Sans" w:eastAsia="Open Sans" w:cs="Open Sans"/>
          <w:color w:val="000000"/>
          <w:sz w:val="20"/>
          <w:szCs w:val="20"/>
        </w:rPr>
        <w:t xml:space="preserve">: naranjas frescas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rottenapples/</w:t>
      </w:r>
      <w:r>
        <w:rPr>
          <w:rFonts w:ascii="Open Sans" w:hAnsi="Open Sans" w:eastAsia="Open Sans" w:cs="Open Sans"/>
          <w:color w:val="000000"/>
          <w:sz w:val="20"/>
          <w:szCs w:val="20"/>
        </w:rPr>
        <w:t xml:space="preserve">: manzanas podridas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rottenbanana/</w:t>
      </w:r>
      <w:r>
        <w:rPr>
          <w:rFonts w:ascii="Open Sans" w:hAnsi="Open Sans" w:eastAsia="Open Sans" w:cs="Open Sans"/>
          <w:color w:val="000000"/>
          <w:sz w:val="20"/>
          <w:szCs w:val="20"/>
        </w:rPr>
        <w:t xml:space="preserve">: bananas podridas</w:t>
      </w:r>
      <w:r>
        <w:rPr>
          <w:rFonts w:ascii="Open Sans" w:hAnsi="Open Sans" w:eastAsia="Open Sans" w:cs="Open Sans"/>
          <w:sz w:val="20"/>
          <w:szCs w:val="20"/>
        </w:rPr>
      </w:r>
    </w:p>
    <w:p>
      <w:pPr>
        <w:pStyle w:val="664"/>
        <w:numPr>
          <w:ilvl w:val="0"/>
          <w:numId w:val="1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rottenoranges/</w:t>
      </w:r>
      <w:r>
        <w:rPr>
          <w:rFonts w:ascii="Open Sans" w:hAnsi="Open Sans" w:eastAsia="Open Sans" w:cs="Open Sans"/>
          <w:color w:val="000000"/>
          <w:sz w:val="20"/>
          <w:szCs w:val="20"/>
        </w:rPr>
        <w:t xml:space="preserve">: naranjas podridas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Cada subcarpeta contiene múltiples imágenes en formato </w:t>
      </w:r>
      <w:r>
        <w:rPr>
          <w:rFonts w:ascii="Open Sans" w:hAnsi="Open Sans" w:eastAsia="Open Sans" w:cs="Open Sans"/>
          <w:color w:val="000000"/>
          <w:sz w:val="20"/>
          <w:szCs w:val="20"/>
        </w:rPr>
        <w:t xml:space="preserve">.jpg</w:t>
      </w:r>
      <w:r>
        <w:rPr>
          <w:rFonts w:ascii="Open Sans" w:hAnsi="Open Sans" w:eastAsia="Open Sans" w:cs="Open Sans"/>
          <w:color w:val="000000"/>
          <w:sz w:val="20"/>
          <w:szCs w:val="20"/>
        </w:rPr>
        <w:t xml:space="preserve"> o similar, representando instancias reales de la clase correspondiente.</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Características del Dataset</w:t>
      </w:r>
      <w:r>
        <w:rPr>
          <w:rFonts w:ascii="Open Sans" w:hAnsi="Open Sans" w:eastAsia="Open Sans" w:cs="Open Sans"/>
          <w:sz w:val="20"/>
          <w:szCs w:val="20"/>
        </w:rPr>
      </w:r>
    </w:p>
    <w:p>
      <w:pPr>
        <w:pStyle w:val="664"/>
        <w:numPr>
          <w:ilvl w:val="0"/>
          <w:numId w:val="1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Cantidad de clases</w:t>
      </w:r>
      <w:r>
        <w:rPr>
          <w:rFonts w:ascii="Open Sans" w:hAnsi="Open Sans" w:eastAsia="Open Sans" w:cs="Open Sans"/>
          <w:color w:val="000000"/>
          <w:sz w:val="20"/>
          <w:szCs w:val="20"/>
        </w:rPr>
        <w:t xml:space="preserve">: 6</w:t>
      </w:r>
      <w:r>
        <w:rPr>
          <w:rFonts w:ascii="Open Sans" w:hAnsi="Open Sans" w:eastAsia="Open Sans" w:cs="Open Sans"/>
          <w:sz w:val="20"/>
          <w:szCs w:val="20"/>
        </w:rPr>
      </w:r>
    </w:p>
    <w:p>
      <w:pPr>
        <w:pStyle w:val="664"/>
        <w:numPr>
          <w:ilvl w:val="0"/>
          <w:numId w:val="1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Tipo de clasificación</w:t>
      </w:r>
      <w:r>
        <w:rPr>
          <w:rFonts w:ascii="Open Sans" w:hAnsi="Open Sans" w:eastAsia="Open Sans" w:cs="Open Sans"/>
          <w:color w:val="000000"/>
          <w:sz w:val="20"/>
          <w:szCs w:val="20"/>
        </w:rPr>
        <w:t xml:space="preserve">: Multiclase (una sola etiqueta por imagen)</w:t>
      </w:r>
      <w:r>
        <w:rPr>
          <w:rFonts w:ascii="Open Sans" w:hAnsi="Open Sans" w:eastAsia="Open Sans" w:cs="Open Sans"/>
          <w:sz w:val="20"/>
          <w:szCs w:val="20"/>
        </w:rPr>
      </w:r>
    </w:p>
    <w:p>
      <w:pPr>
        <w:pStyle w:val="664"/>
        <w:numPr>
          <w:ilvl w:val="0"/>
          <w:numId w:val="1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Formato de imágenes</w:t>
      </w:r>
      <w:r>
        <w:rPr>
          <w:rFonts w:ascii="Open Sans" w:hAnsi="Open Sans" w:eastAsia="Open Sans" w:cs="Open Sans"/>
          <w:color w:val="000000"/>
          <w:sz w:val="20"/>
          <w:szCs w:val="20"/>
        </w:rPr>
        <w:t xml:space="preserve">: Imágenes a color (RGB), de distintas resoluciones</w:t>
      </w:r>
      <w:r>
        <w:rPr>
          <w:rFonts w:ascii="Open Sans" w:hAnsi="Open Sans" w:eastAsia="Open Sans" w:cs="Open Sans"/>
          <w:sz w:val="20"/>
          <w:szCs w:val="20"/>
        </w:rPr>
      </w:r>
    </w:p>
    <w:p>
      <w:pPr>
        <w:pStyle w:val="664"/>
        <w:numPr>
          <w:ilvl w:val="0"/>
          <w:numId w:val="1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Etiquetado</w:t>
      </w:r>
      <w:r>
        <w:rPr>
          <w:rFonts w:ascii="Open Sans" w:hAnsi="Open Sans" w:eastAsia="Open Sans" w:cs="Open Sans"/>
          <w:color w:val="000000"/>
          <w:sz w:val="20"/>
          <w:szCs w:val="20"/>
        </w:rPr>
        <w:t xml:space="preserve">: Implícito, mediante la estructura de carpetas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Cs w:val="20"/>
        </w:rPr>
      </w:pPr>
      <w:r>
        <w:rPr>
          <w:rFonts w:ascii="Open Sans" w:hAnsi="Open Sans" w:eastAsia="Open Sans" w:cs="Open Sans"/>
          <w:color w:val="000000"/>
          <w:sz w:val="20"/>
          <w:szCs w:val="20"/>
        </w:rPr>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Cs w:val="20"/>
        </w:rPr>
      </w:pPr>
      <w:r>
        <w:rPr>
          <w:rFonts w:ascii="Open Sans" w:hAnsi="Open Sans" w:eastAsia="Open Sans" w:cs="Open Sans"/>
          <w:sz w:val="20"/>
          <w:szCs w:val="20"/>
        </w:rPr>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highlight w:val="none"/>
        </w:rPr>
      </w:r>
      <w:r>
        <w:rPr>
          <w:rFonts w:ascii="Open Sans" w:hAnsi="Open Sans" w:eastAsia="Open Sans" w:cs="Open Sans"/>
          <w:b/>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color w:val="000000"/>
          <w:sz w:val="20"/>
          <w:szCs w:val="20"/>
        </w:rPr>
        <w:t xml:space="preserve">2. Preprocesamiento de Datos</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2.1. Carga de Imágenes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Se hizo uso de la función </w:t>
      </w:r>
      <w:r>
        <w:rPr>
          <w:rFonts w:ascii="Open Sans" w:hAnsi="Open Sans" w:eastAsia="Open Sans" w:cs="Open Sans"/>
          <w:color w:val="000000"/>
          <w:sz w:val="20"/>
          <w:szCs w:val="20"/>
        </w:rPr>
        <w:t xml:space="preserve">ImageFolder</w:t>
      </w:r>
      <w:r>
        <w:rPr>
          <w:rFonts w:ascii="Open Sans" w:hAnsi="Open Sans" w:eastAsia="Open Sans" w:cs="Open Sans"/>
          <w:color w:val="000000"/>
          <w:sz w:val="20"/>
          <w:szCs w:val="20"/>
        </w:rPr>
        <w:t xml:space="preserve"> de la librería </w:t>
      </w:r>
      <w:r>
        <w:rPr>
          <w:rFonts w:ascii="Open Sans" w:hAnsi="Open Sans" w:eastAsia="Open Sans" w:cs="Open Sans"/>
          <w:b/>
          <w:color w:val="000000"/>
          <w:sz w:val="20"/>
          <w:szCs w:val="20"/>
        </w:rPr>
        <w:t xml:space="preserve">torchvision</w:t>
      </w:r>
      <w:r>
        <w:rPr>
          <w:rFonts w:ascii="Open Sans" w:hAnsi="Open Sans" w:eastAsia="Open Sans" w:cs="Open Sans"/>
          <w:color w:val="000000"/>
          <w:sz w:val="20"/>
          <w:szCs w:val="20"/>
        </w:rPr>
        <w:t xml:space="preserve">, que permite cargar las imágenes basándose en la estructura de carpetas. Esto asigna automáticamente etiquetas numéricas a las imágenes según la carpeta a la que pertenecen.</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2.2. Transformaciones y Data Augmentation</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Para mejorar la calidad y robustez del modelo se realizaron dos tipos de transformaciones:</w:t>
      </w:r>
      <w:r>
        <w:rPr>
          <w:rFonts w:ascii="Open Sans" w:hAnsi="Open Sans" w:eastAsia="Open Sans" w:cs="Open Sans"/>
          <w:sz w:val="20"/>
          <w:szCs w:val="20"/>
        </w:rPr>
      </w:r>
    </w:p>
    <w:p>
      <w:pPr>
        <w:pStyle w:val="664"/>
        <w:numPr>
          <w:ilvl w:val="0"/>
          <w:numId w:val="1"/>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Transformaciones para entrenamiento:</w:t>
        <w:br/>
      </w:r>
      <w:r>
        <w:rPr>
          <w:rFonts w:ascii="Open Sans" w:hAnsi="Open Sans" w:eastAsia="Open Sans" w:cs="Open Sans"/>
          <w:i/>
          <w:color w:val="000000"/>
          <w:sz w:val="20"/>
          <w:szCs w:val="20"/>
        </w:rPr>
        <w:t xml:space="preserve">Redimensionamiento</w:t>
      </w:r>
      <w:r>
        <w:rPr>
          <w:rFonts w:ascii="Open Sans" w:hAnsi="Open Sans" w:eastAsia="Open Sans" w:cs="Open Sans"/>
          <w:color w:val="000000"/>
          <w:sz w:val="20"/>
          <w:szCs w:val="20"/>
        </w:rPr>
        <w:t xml:space="preserve"> de las imágenes a un tamaño fijo (128x128 píxeles), </w:t>
      </w:r>
      <w:r>
        <w:rPr>
          <w:rFonts w:ascii="Open Sans" w:hAnsi="Open Sans" w:eastAsia="Open Sans" w:cs="Open Sans"/>
          <w:i/>
          <w:color w:val="000000"/>
          <w:sz w:val="20"/>
          <w:szCs w:val="20"/>
        </w:rPr>
        <w:t xml:space="preserve">aumento de datos</w:t>
      </w:r>
      <w:r>
        <w:rPr>
          <w:rFonts w:ascii="Open Sans" w:hAnsi="Open Sans" w:eastAsia="Open Sans" w:cs="Open Sans"/>
          <w:color w:val="000000"/>
          <w:sz w:val="20"/>
          <w:szCs w:val="20"/>
        </w:rPr>
        <w:t xml:space="preserve"> mediante rotaciones y volteos horizontales, conversión a tensor y normalización. Estos pasos ayudan a mejorar la diversidad de los datos, permitiendo al modelo generalizar mejor ante variaciones en las imágenes.</w:t>
      </w:r>
      <w:r>
        <w:rPr>
          <w:rFonts w:ascii="Open Sans" w:hAnsi="Open Sans" w:eastAsia="Open Sans" w:cs="Open Sans"/>
          <w:sz w:val="20"/>
          <w:szCs w:val="20"/>
        </w:rPr>
      </w:r>
    </w:p>
    <w:p>
      <w:pPr>
        <w:pStyle w:val="664"/>
        <w:numPr>
          <w:ilvl w:val="0"/>
          <w:numId w:val="1"/>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Transformaciones para validación y test:</w:t>
        <w:br/>
      </w:r>
      <w:r>
        <w:rPr>
          <w:rFonts w:ascii="Open Sans" w:hAnsi="Open Sans" w:eastAsia="Open Sans" w:cs="Open Sans"/>
          <w:color w:val="000000"/>
          <w:sz w:val="20"/>
          <w:szCs w:val="20"/>
        </w:rPr>
        <w:t xml:space="preserve"> Se aplicó un redimensionamiento, conversión a tensor y normalización, sin incrementar aleatoriamente variaciones. De esta forma, se garantiza que en la evaluación se miden resultados en datos no modificados por técnicas de aumento.</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2.3. División del Conjunto de Datos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conjunto de entrenamiento se dividió en dos partes:</w:t>
      </w:r>
      <w:r>
        <w:rPr>
          <w:rFonts w:ascii="Open Sans" w:hAnsi="Open Sans" w:eastAsia="Open Sans" w:cs="Open Sans"/>
          <w:sz w:val="20"/>
          <w:szCs w:val="20"/>
        </w:rPr>
      </w:r>
    </w:p>
    <w:p>
      <w:pPr>
        <w:pStyle w:val="664"/>
        <w:numPr>
          <w:ilvl w:val="0"/>
          <w:numId w:val="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Entrenamiento (Train):</w:t>
      </w:r>
      <w:r>
        <w:rPr>
          <w:rFonts w:ascii="Open Sans" w:hAnsi="Open Sans" w:eastAsia="Open Sans" w:cs="Open Sans"/>
          <w:color w:val="000000"/>
          <w:sz w:val="20"/>
          <w:szCs w:val="20"/>
        </w:rPr>
        <w:t xml:space="preserve"> 90% de las imágenes originales.</w:t>
      </w:r>
      <w:r>
        <w:rPr>
          <w:rFonts w:ascii="Open Sans" w:hAnsi="Open Sans" w:eastAsia="Open Sans" w:cs="Open Sans"/>
          <w:sz w:val="20"/>
          <w:szCs w:val="20"/>
        </w:rPr>
      </w:r>
    </w:p>
    <w:p>
      <w:pPr>
        <w:pStyle w:val="664"/>
        <w:numPr>
          <w:ilvl w:val="0"/>
          <w:numId w:val="2"/>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Validación (Validation):</w:t>
      </w:r>
      <w:r>
        <w:rPr>
          <w:rFonts w:ascii="Open Sans" w:hAnsi="Open Sans" w:eastAsia="Open Sans" w:cs="Open Sans"/>
          <w:color w:val="000000"/>
          <w:sz w:val="20"/>
          <w:szCs w:val="20"/>
        </w:rPr>
        <w:t xml:space="preserve"> 10% de las imágenes, usadas para ajustar hiperparámetros y monitorizar el aprendizaje.</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conjunto de test se utilizó tal como está, para evaluar el rendimiento final del modelo en datos no vistos.</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bCs/>
          <w:color w:val="000000"/>
          <w:sz w:val="20"/>
          <w:szCs w:val="20"/>
          <w:highlight w:val="none"/>
        </w:rPr>
      </w:r>
      <w:r>
        <w:rPr>
          <w:rFonts w:ascii="Open Sans" w:hAnsi="Open Sans" w:eastAsia="Open Sans" w:cs="Open Sans"/>
          <w:b/>
          <w:bCs/>
          <w:color w:val="000000"/>
          <w:sz w:val="20"/>
          <w:szCs w:val="20"/>
          <w:highlight w:val="none"/>
        </w:rPr>
      </w:r>
    </w:p>
    <w:p>
      <w:pPr>
        <w:pBdr/>
        <w:spacing/>
        <w:ind/>
        <w:rPr/>
      </w:pPr>
      <w: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color w:val="000000"/>
          <w:sz w:val="20"/>
          <w:szCs w:val="20"/>
        </w:rPr>
        <w:t xml:space="preserve">4. Selección y Diseño del Modelo</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4.1. Arquitectura de la Red Neuronal</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Se escogió una red neuronal convolucional (CNN) simple, que consiste en:</w:t>
      </w:r>
      <w:r>
        <w:rPr>
          <w:rFonts w:ascii="Open Sans" w:hAnsi="Open Sans" w:eastAsia="Open Sans" w:cs="Open Sans"/>
          <w:sz w:val="20"/>
          <w:szCs w:val="20"/>
        </w:rPr>
      </w:r>
    </w:p>
    <w:p>
      <w:pPr>
        <w:pStyle w:val="664"/>
        <w:numPr>
          <w:ilvl w:val="0"/>
          <w:numId w:val="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Capas convolucionales:</w:t>
        <w:br/>
      </w:r>
      <w:r>
        <w:rPr>
          <w:rFonts w:ascii="Open Sans" w:hAnsi="Open Sans" w:eastAsia="Open Sans" w:cs="Open Sans"/>
          <w:color w:val="000000"/>
          <w:sz w:val="20"/>
          <w:szCs w:val="20"/>
        </w:rPr>
        <w:t xml:space="preserve"> Tres bloques de capas con operaciones de convolución, activación ReLU y </w:t>
      </w:r>
      <w:r>
        <w:rPr>
          <w:rFonts w:ascii="Open Sans" w:hAnsi="Open Sans" w:eastAsia="Open Sans" w:cs="Open Sans"/>
          <w:i/>
          <w:color w:val="000000"/>
          <w:sz w:val="20"/>
          <w:szCs w:val="20"/>
        </w:rPr>
        <w:t xml:space="preserve">max pooling</w:t>
      </w:r>
      <w:r>
        <w:rPr>
          <w:rFonts w:ascii="Open Sans" w:hAnsi="Open Sans" w:eastAsia="Open Sans" w:cs="Open Sans"/>
          <w:color w:val="000000"/>
          <w:sz w:val="20"/>
          <w:szCs w:val="20"/>
        </w:rPr>
        <w:t xml:space="preserve">, lo que permite extraer características relevantes de las imágenes y reducir sus dimensiones progresivamente.</w:t>
      </w:r>
      <w:r>
        <w:rPr>
          <w:rFonts w:ascii="Open Sans" w:hAnsi="Open Sans" w:eastAsia="Open Sans" w:cs="Open Sans"/>
          <w:sz w:val="20"/>
          <w:szCs w:val="20"/>
        </w:rPr>
      </w:r>
    </w:p>
    <w:p>
      <w:pPr>
        <w:pStyle w:val="664"/>
        <w:numPr>
          <w:ilvl w:val="0"/>
          <w:numId w:val="3"/>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Capas totalmente conectadas (fully connected):</w:t>
        <w:br/>
      </w:r>
      <w:r>
        <w:rPr>
          <w:rFonts w:ascii="Open Sans" w:hAnsi="Open Sans" w:eastAsia="Open Sans" w:cs="Open Sans"/>
          <w:color w:val="000000"/>
          <w:sz w:val="20"/>
          <w:szCs w:val="20"/>
        </w:rPr>
        <w:t xml:space="preserve"> Tras aplanar la salida de las capas convolucionales, se agregaron dos capas densas. Se incluyó una capa con una función de activación ReLU y la técnica </w:t>
      </w:r>
      <w:r>
        <w:rPr>
          <w:rFonts w:ascii="Open Sans" w:hAnsi="Open Sans" w:eastAsia="Open Sans" w:cs="Open Sans"/>
          <w:i/>
          <w:color w:val="000000"/>
          <w:sz w:val="20"/>
          <w:szCs w:val="20"/>
        </w:rPr>
        <w:t xml:space="preserve">Dropout</w:t>
      </w:r>
      <w:r>
        <w:rPr>
          <w:rFonts w:ascii="Open Sans" w:hAnsi="Open Sans" w:eastAsia="Open Sans" w:cs="Open Sans"/>
          <w:color w:val="000000"/>
          <w:sz w:val="20"/>
          <w:szCs w:val="20"/>
        </w:rPr>
        <w:t xml:space="preserve"> para ayudar a prevenir el sobreajuste, finalizando con una capa de salida que produce una probabilidad para cada clase.</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Esta arquitectura fue diseñada pensando en la simplicidad y efectividad para la clasificación en un problema de este tipo, permitiendo un equilibrio entre rendimiento y complejidad.</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highlight w:val="none"/>
        </w:rPr>
      </w:r>
      <w:r>
        <w:rPr>
          <w:rFonts w:ascii="Open Sans" w:hAnsi="Open Sans" w:eastAsia="Open Sans" w:cs="Open Sans"/>
          <w:b/>
          <w:color w:val="000000"/>
          <w:sz w:val="20"/>
          <w:szCs w:val="20"/>
          <w:highlight w:val="none"/>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b/>
          <w:bCs/>
          <w:color w:val="000000"/>
          <w:sz w:val="20"/>
          <w:szCs w:val="20"/>
          <w:highlight w:val="none"/>
        </w:rPr>
      </w:pPr>
      <w:r>
        <w:rPr>
          <w:rFonts w:ascii="Open Sans" w:hAnsi="Open Sans" w:eastAsia="Open Sans" w:cs="Open Sans"/>
          <w:b/>
          <w:color w:val="000000"/>
          <w:sz w:val="20"/>
          <w:szCs w:val="20"/>
        </w:rPr>
        <w:t xml:space="preserve">5. Entrenamiento del Modelo</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5.1. Configuración del Proceso de Entrenamiento</w:t>
      </w:r>
      <w:r>
        <w:rPr>
          <w:rFonts w:ascii="Open Sans" w:hAnsi="Open Sans" w:eastAsia="Open Sans" w:cs="Open Sans"/>
          <w:sz w:val="20"/>
          <w:szCs w:val="20"/>
        </w:rPr>
      </w:r>
    </w:p>
    <w:p>
      <w:pPr>
        <w:pStyle w:val="664"/>
        <w:numPr>
          <w:ilvl w:val="0"/>
          <w:numId w:val="4"/>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Función de pérdida:</w:t>
      </w:r>
      <w:r>
        <w:rPr>
          <w:rFonts w:ascii="Open Sans" w:hAnsi="Open Sans" w:eastAsia="Open Sans" w:cs="Open Sans"/>
          <w:color w:val="000000"/>
          <w:sz w:val="20"/>
          <w:szCs w:val="20"/>
        </w:rPr>
        <w:t xml:space="preserve"> Se utilizó </w:t>
      </w:r>
      <w:r>
        <w:rPr>
          <w:rFonts w:ascii="Open Sans" w:hAnsi="Open Sans" w:eastAsia="Open Sans" w:cs="Open Sans"/>
          <w:i/>
          <w:color w:val="000000"/>
          <w:sz w:val="20"/>
          <w:szCs w:val="20"/>
        </w:rPr>
        <w:t xml:space="preserve">CrossEntropyLoss</w:t>
      </w:r>
      <w:r>
        <w:rPr>
          <w:rFonts w:ascii="Open Sans" w:hAnsi="Open Sans" w:eastAsia="Open Sans" w:cs="Open Sans"/>
          <w:color w:val="000000"/>
          <w:sz w:val="20"/>
          <w:szCs w:val="20"/>
        </w:rPr>
        <w:t xml:space="preserve">, adecuada para tareas de clasificación en la que se espera que el modelo asigne la máxima probabilidad a la clase correcta.</w:t>
      </w:r>
      <w:r>
        <w:rPr>
          <w:rFonts w:ascii="Open Sans" w:hAnsi="Open Sans" w:eastAsia="Open Sans" w:cs="Open Sans"/>
          <w:sz w:val="20"/>
          <w:szCs w:val="20"/>
        </w:rPr>
      </w:r>
    </w:p>
    <w:p>
      <w:pPr>
        <w:pStyle w:val="664"/>
        <w:numPr>
          <w:ilvl w:val="0"/>
          <w:numId w:val="4"/>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Optimizador:</w:t>
      </w:r>
      <w:r>
        <w:rPr>
          <w:rFonts w:ascii="Open Sans" w:hAnsi="Open Sans" w:eastAsia="Open Sans" w:cs="Open Sans"/>
          <w:color w:val="000000"/>
          <w:sz w:val="20"/>
          <w:szCs w:val="20"/>
        </w:rPr>
        <w:t xml:space="preserve"> Se seleccionó el optimizador </w:t>
      </w:r>
      <w:r>
        <w:rPr>
          <w:rFonts w:ascii="Open Sans" w:hAnsi="Open Sans" w:eastAsia="Open Sans" w:cs="Open Sans"/>
          <w:i/>
          <w:color w:val="000000"/>
          <w:sz w:val="20"/>
          <w:szCs w:val="20"/>
        </w:rPr>
        <w:t xml:space="preserve">Adam</w:t>
      </w:r>
      <w:r>
        <w:rPr>
          <w:rFonts w:ascii="Open Sans" w:hAnsi="Open Sans" w:eastAsia="Open Sans" w:cs="Open Sans"/>
          <w:color w:val="000000"/>
          <w:sz w:val="20"/>
          <w:szCs w:val="20"/>
        </w:rPr>
        <w:t xml:space="preserve"> con una tasa de aprendizaje inicial de 0.001, que se ajusta automáticamente para mejorar el proceso de convergencia.</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5.2. Ciclo de Entrenamiento y Early Stopping</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entrenamiento se ejecutó durante un número máximo de 25 épocas. Durante cada época, se calcularon la pérdida (loss) y la exactitud (accuracy) tanto en el conjunto de entrenamiento como en el de validación. Además, se implementó un mecanismo de </w:t>
      </w:r>
      <w:r>
        <w:rPr>
          <w:rFonts w:ascii="Open Sans" w:hAnsi="Open Sans" w:eastAsia="Open Sans" w:cs="Open Sans"/>
          <w:i/>
          <w:color w:val="000000"/>
          <w:sz w:val="20"/>
          <w:szCs w:val="20"/>
        </w:rPr>
        <w:t xml:space="preserve">early stopping</w:t>
      </w:r>
      <w:r>
        <w:rPr>
          <w:rFonts w:ascii="Open Sans" w:hAnsi="Open Sans" w:eastAsia="Open Sans" w:cs="Open Sans"/>
          <w:color w:val="000000"/>
          <w:sz w:val="20"/>
          <w:szCs w:val="20"/>
        </w:rPr>
        <w:t xml:space="preserve"> que detiene el entrenamiento si la pérdida en el conjunto de validación no mejora después de 5 épocas consecutivas. Esto evita el sobreajuste y reduce el tiempo de entrenamiento innecesario.</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6. Ajuste de Hiperparámetros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Durante el entrenamiento se llevaron a cabo experimentos con distintos hiperparámetros, tales como:</w:t>
      </w:r>
      <w:r>
        <w:rPr>
          <w:rFonts w:ascii="Open Sans" w:hAnsi="Open Sans" w:eastAsia="Open Sans" w:cs="Open Sans"/>
          <w:sz w:val="20"/>
          <w:szCs w:val="20"/>
        </w:rPr>
      </w:r>
    </w:p>
    <w:p>
      <w:pPr>
        <w:pStyle w:val="664"/>
        <w:numPr>
          <w:ilvl w:val="0"/>
          <w:numId w:val="5"/>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Tasa de aprendizaje:</w:t>
      </w:r>
      <w:r>
        <w:rPr>
          <w:rFonts w:ascii="Open Sans" w:hAnsi="Open Sans" w:eastAsia="Open Sans" w:cs="Open Sans"/>
          <w:color w:val="000000"/>
          <w:sz w:val="20"/>
          <w:szCs w:val="20"/>
        </w:rPr>
        <w:t xml:space="preserve"> Se evaluaron distintos valores (por ejemplo, 0.001 y menores) para optimizar la convergencia.</w:t>
      </w:r>
      <w:r>
        <w:rPr>
          <w:rFonts w:ascii="Open Sans" w:hAnsi="Open Sans" w:eastAsia="Open Sans" w:cs="Open Sans"/>
          <w:sz w:val="20"/>
          <w:szCs w:val="20"/>
        </w:rPr>
      </w:r>
    </w:p>
    <w:p>
      <w:pPr>
        <w:pStyle w:val="664"/>
        <w:numPr>
          <w:ilvl w:val="0"/>
          <w:numId w:val="5"/>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Tamaño del batch:</w:t>
      </w:r>
      <w:r>
        <w:rPr>
          <w:rFonts w:ascii="Open Sans" w:hAnsi="Open Sans" w:eastAsia="Open Sans" w:cs="Open Sans"/>
          <w:color w:val="000000"/>
          <w:sz w:val="20"/>
          <w:szCs w:val="20"/>
        </w:rPr>
        <w:t xml:space="preserve"> Se probó con batches de 32 imágenes, aunque pueden evaluarse otros tamaños para ver el impacto en el rendimiento y velocidad.</w:t>
      </w:r>
      <w:r>
        <w:rPr>
          <w:rFonts w:ascii="Open Sans" w:hAnsi="Open Sans" w:eastAsia="Open Sans" w:cs="Open Sans"/>
          <w:sz w:val="20"/>
          <w:szCs w:val="20"/>
        </w:rPr>
      </w:r>
    </w:p>
    <w:p>
      <w:pPr>
        <w:pStyle w:val="664"/>
        <w:numPr>
          <w:ilvl w:val="0"/>
          <w:numId w:val="5"/>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Dropout:</w:t>
      </w:r>
      <w:r>
        <w:rPr>
          <w:rFonts w:ascii="Open Sans" w:hAnsi="Open Sans" w:eastAsia="Open Sans" w:cs="Open Sans"/>
          <w:color w:val="000000"/>
          <w:sz w:val="20"/>
          <w:szCs w:val="20"/>
        </w:rPr>
        <w:t xml:space="preserve"> Se aplicó un valor de 0.5 para prevenir el sobreajuste, aunque es posible ajustar este porcentaje para encontrar un balance óptimo.</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Estos ajustes se registraron para analizar cómo influyen en el desempeño del modelo y ayudar a decidir la mejor configuración.</w:t>
      </w:r>
      <w:r>
        <w:rPr>
          <w:rFonts w:ascii="Open Sans" w:hAnsi="Open Sans" w:eastAsia="Open Sans" w:cs="Open Sans"/>
          <w:sz w:val="20"/>
          <w:szCs w:val="20"/>
        </w:rPr>
      </w:r>
    </w:p>
    <w:p>
      <w:pPr>
        <w:pStyle w:val="139"/>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7. Evaluación del Modelo</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7.1. Métricas Utilizadas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El modelo final se evaluó en el conjunto de test utilizando las siguientes métricas:</w:t>
      </w:r>
      <w:r>
        <w:rPr>
          <w:rFonts w:ascii="Open Sans" w:hAnsi="Open Sans" w:eastAsia="Open Sans" w:cs="Open Sans"/>
          <w:sz w:val="20"/>
          <w:szCs w:val="20"/>
        </w:rPr>
      </w:r>
    </w:p>
    <w:p>
      <w:pPr>
        <w:pStyle w:val="664"/>
        <w:numPr>
          <w:ilvl w:val="0"/>
          <w:numId w:val="6"/>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Exactitud (Accuracy)</w:t>
      </w:r>
      <w:r>
        <w:rPr>
          <w:rFonts w:ascii="Open Sans" w:hAnsi="Open Sans" w:eastAsia="Open Sans" w:cs="Open Sans"/>
          <w:sz w:val="20"/>
          <w:szCs w:val="20"/>
        </w:rPr>
      </w:r>
    </w:p>
    <w:p>
      <w:pPr>
        <w:pStyle w:val="664"/>
        <w:numPr>
          <w:ilvl w:val="0"/>
          <w:numId w:val="6"/>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Precisión (Precision)</w:t>
      </w:r>
      <w:r>
        <w:rPr>
          <w:rFonts w:ascii="Open Sans" w:hAnsi="Open Sans" w:eastAsia="Open Sans" w:cs="Open Sans"/>
          <w:sz w:val="20"/>
          <w:szCs w:val="20"/>
        </w:rPr>
      </w:r>
    </w:p>
    <w:p>
      <w:pPr>
        <w:pStyle w:val="664"/>
        <w:numPr>
          <w:ilvl w:val="0"/>
          <w:numId w:val="6"/>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Sensibilidad o Recall</w:t>
      </w:r>
      <w:r>
        <w:rPr>
          <w:rFonts w:ascii="Open Sans" w:hAnsi="Open Sans" w:eastAsia="Open Sans" w:cs="Open Sans"/>
          <w:sz w:val="20"/>
          <w:szCs w:val="20"/>
        </w:rPr>
      </w:r>
    </w:p>
    <w:p>
      <w:pPr>
        <w:pStyle w:val="664"/>
        <w:numPr>
          <w:ilvl w:val="0"/>
          <w:numId w:val="6"/>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b/>
          <w:color w:val="000000"/>
          <w:sz w:val="20"/>
          <w:szCs w:val="20"/>
        </w:rPr>
        <w:t xml:space="preserve">F1-score</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La librería </w:t>
      </w:r>
      <w:r>
        <w:rPr>
          <w:rFonts w:ascii="Open Sans" w:hAnsi="Open Sans" w:eastAsia="Open Sans" w:cs="Open Sans"/>
          <w:b/>
          <w:color w:val="000000"/>
          <w:sz w:val="20"/>
          <w:szCs w:val="20"/>
        </w:rPr>
        <w:t xml:space="preserve">scikit-learn</w:t>
      </w:r>
      <w:r>
        <w:rPr>
          <w:rFonts w:ascii="Open Sans" w:hAnsi="Open Sans" w:eastAsia="Open Sans" w:cs="Open Sans"/>
          <w:color w:val="000000"/>
          <w:sz w:val="20"/>
          <w:szCs w:val="20"/>
        </w:rPr>
        <w:t xml:space="preserve"> se empleó para obtener un informe de clasificación que resume estas métricas. Además, se compararon los resultados entre clases para identificar posibles desequilibrios o áreas de mejora.</w:t>
      </w:r>
      <w:r>
        <w:rPr>
          <w:rFonts w:ascii="Open Sans" w:hAnsi="Open Sans" w:eastAsia="Open Sans" w:cs="Open Sans"/>
          <w:sz w:val="20"/>
          <w:szCs w:val="20"/>
        </w:rPr>
      </w:r>
    </w:p>
    <w:p>
      <w:pPr>
        <w:pStyle w:val="140"/>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b/>
          <w:color w:val="000000"/>
          <w:sz w:val="20"/>
          <w:szCs w:val="20"/>
        </w:rPr>
        <w:t xml:space="preserve">7.2. Visualización de Resultados</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rPr>
        <w:t xml:space="preserve">Se utilizaron gráficos para visualizar:</w:t>
      </w:r>
      <w:r>
        <w:rPr>
          <w:rFonts w:ascii="Open Sans" w:hAnsi="Open Sans" w:eastAsia="Open Sans" w:cs="Open Sans"/>
          <w:sz w:val="20"/>
          <w:szCs w:val="20"/>
        </w:rPr>
      </w:r>
    </w:p>
    <w:p>
      <w:pPr>
        <w:pStyle w:val="664"/>
        <w:numPr>
          <w:ilvl w:val="0"/>
          <w:numId w:val="7"/>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La evolución de la pérdida (loss) y la exactitud (accuracy) en cada época, tanto en entrenamiento como en validación.</w:t>
      </w:r>
      <w:r>
        <w:rPr>
          <w:rFonts w:ascii="Open Sans" w:hAnsi="Open Sans" w:eastAsia="Open Sans" w:cs="Open Sans"/>
          <w:sz w:val="20"/>
          <w:szCs w:val="20"/>
        </w:rPr>
      </w:r>
    </w:p>
    <w:p>
      <w:pPr>
        <w:pStyle w:val="664"/>
        <w:numPr>
          <w:ilvl w:val="0"/>
          <w:numId w:val="7"/>
        </w:numPr>
        <w:pBdr>
          <w:top w:val="none" w:color="000000" w:sz="4" w:space="0"/>
          <w:left w:val="none" w:color="000000" w:sz="4" w:space="0"/>
          <w:bottom w:val="none" w:color="000000" w:sz="4" w:space="0"/>
          <w:right w:val="none" w:color="000000" w:sz="4" w:space="0"/>
        </w:pBdr>
        <w:spacing/>
        <w:ind w:right="0"/>
        <w:rPr>
          <w:rFonts w:ascii="Open Sans" w:hAnsi="Open Sans" w:cs="Open Sans"/>
          <w:sz w:val="20"/>
          <w:szCs w:val="20"/>
        </w:rPr>
      </w:pPr>
      <w:r>
        <w:rPr>
          <w:rFonts w:ascii="Open Sans" w:hAnsi="Open Sans" w:eastAsia="Open Sans" w:cs="Open Sans"/>
          <w:color w:val="000000"/>
          <w:sz w:val="20"/>
          <w:szCs w:val="20"/>
        </w:rPr>
        <w:t xml:space="preserve">Análisis de errores: Se pueden inspeccionar algunas imágenes mal clasificadas para identificar patrones o problemas recurrentes (por ejemplo, iluminación, ángulos, etc.).</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eastAsia="Open Sans" w:cs="Open Sans"/>
          <w:color w:val="000000"/>
          <w:sz w:val="20"/>
          <w:szCs w:val="20"/>
          <w:highlight w:val="none"/>
        </w:rPr>
      </w:pPr>
      <w:r>
        <w:rPr>
          <w:rFonts w:ascii="Open Sans" w:hAnsi="Open Sans" w:eastAsia="Open Sans" w:cs="Open Sans"/>
          <w:color w:val="000000"/>
          <w:sz w:val="20"/>
          <w:szCs w:val="20"/>
        </w:rPr>
        <w:t xml:space="preserve">Esta visualización facilita la comprensión del proceso de entrenamiento y permite ajustar el modelo o los parámetros de ser necesario.</w:t>
      </w:r>
      <w:r>
        <w:rPr>
          <w:rFonts w:ascii="Open Sans" w:hAnsi="Open Sans" w:eastAsia="Open Sans" w:cs="Open Sans"/>
          <w:sz w:val="20"/>
          <w:szCs w:val="20"/>
        </w:rPr>
      </w:r>
    </w:p>
    <w:p>
      <w:pPr>
        <w:pBdr>
          <w:top w:val="none" w:color="000000" w:sz="4" w:space="0"/>
          <w:left w:val="none" w:color="000000" w:sz="4" w:space="0"/>
          <w:bottom w:val="none" w:color="000000" w:sz="4" w:space="0"/>
          <w:right w:val="none" w:color="000000" w:sz="4" w:space="0"/>
        </w:pBdr>
        <w:spacing/>
        <w:ind w:right="0" w:firstLine="0" w:left="0"/>
        <w:rPr>
          <w:rFonts w:ascii="Open Sans" w:hAnsi="Open Sans" w:cs="Open Sans"/>
          <w:sz w:val="20"/>
          <w:szCs w:val="20"/>
        </w:rPr>
      </w:pPr>
      <w:r>
        <w:rPr>
          <w:rFonts w:ascii="Open Sans" w:hAnsi="Open Sans" w:eastAsia="Open Sans" w:cs="Open Sans"/>
          <w:color w:val="000000"/>
          <w:sz w:val="20"/>
          <w:szCs w:val="20"/>
          <w:highlight w:val="none"/>
        </w:rPr>
      </w:r>
      <w:r>
        <w:rPr>
          <w:rFonts w:ascii="Open Sans" w:hAnsi="Open Sans" w:eastAsia="Open Sans" w:cs="Open Sans"/>
          <w:color w:val="000000"/>
          <w:sz w:val="20"/>
          <w:szCs w:val="20"/>
          <w:highlight w:val="none"/>
        </w:rPr>
      </w:r>
    </w:p>
    <w:p>
      <w:pPr>
        <w:pBdr/>
        <w:spacing/>
        <w:ind/>
        <w:rPr/>
      </w:pPr>
      <w:r/>
      <w:r/>
    </w:p>
    <w:p>
      <w:pPr>
        <w:pBdr/>
        <w:spacing/>
        <w:ind/>
        <w:rPr/>
      </w:pPr>
      <w:r/>
      <w:r/>
    </w:p>
    <w:sectPr>
      <w:footnotePr/>
      <w:endnotePr/>
      <w:type w:val="nextPage"/>
      <w:pgSz w:h="15840" w:orient="portrait" w:w="12240"/>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Open Sans">
    <w:panose1 w:val="020B0606030504020204"/>
  </w:font>
  <w:font w:name="Times">
    <w:panose1 w:val="00000500000000020000"/>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7">
    <w:lvl w:ilvl="0">
      <w:isLgl w:val="false"/>
      <w:lvlJc w:val="right"/>
      <w:lvlText w:val="%1."/>
      <w:numFmt w:val="decimal"/>
      <w:pPr>
        <w:pBdr/>
        <w:spacing/>
        <w:ind w:hanging="360" w:left="709"/>
      </w:pPr>
      <w:rPr>
        <w:rFonts w:ascii="Times" w:hAnsi="Times" w:eastAsia="Times" w:cs="Times"/>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
      <w:numFmt w:val="bullet"/>
      <w:pPr>
        <w:pBdr/>
        <w:spacing/>
        <w:ind w:hanging="360" w:left="1429"/>
      </w:pPr>
      <w:rPr>
        <w:rFonts w:hint="default" w:ascii="Symbol" w:hAnsi="Symbol" w:eastAsia="Symbol" w:cs="Symbol"/>
        <w:color w:val="000000"/>
        <w:sz w:val="20"/>
      </w:rPr>
      <w:start w:val="1"/>
      <w:suff w:val="tab"/>
    </w:lvl>
    <w:lvl w:ilvl="2">
      <w:isLgl w:val="false"/>
      <w:lvlJc w:val="left"/>
      <w:lvlText w:val="·"/>
      <w:numFmt w:val="bullet"/>
      <w:pPr>
        <w:pBdr/>
        <w:spacing/>
        <w:ind w:hanging="360" w:left="2149"/>
      </w:pPr>
      <w:rPr>
        <w:rFonts w:hint="default" w:ascii="Symbol" w:hAnsi="Symbol" w:eastAsia="Symbol" w:cs="Symbol"/>
        <w:color w:val="000000"/>
        <w:sz w:val="20"/>
      </w:rPr>
      <w:start w:val="1"/>
      <w:suff w:val="tab"/>
    </w:lvl>
    <w:lvl w:ilvl="3">
      <w:isLgl w:val="false"/>
      <w:lvlJc w:val="left"/>
      <w:lvlText w:val="·"/>
      <w:numFmt w:val="bullet"/>
      <w:pPr>
        <w:pBdr/>
        <w:spacing/>
        <w:ind w:hanging="360" w:left="2869"/>
      </w:pPr>
      <w:rPr>
        <w:rFonts w:hint="default" w:ascii="Symbol" w:hAnsi="Symbol" w:eastAsia="Symbol" w:cs="Symbol"/>
        <w:color w:val="000000"/>
        <w:sz w:val="20"/>
      </w:rPr>
      <w:start w:val="1"/>
      <w:suff w:val="tab"/>
    </w:lvl>
    <w:lvl w:ilvl="4">
      <w:isLgl w:val="false"/>
      <w:lvlJc w:val="left"/>
      <w:lvlText w:val="·"/>
      <w:numFmt w:val="bullet"/>
      <w:pPr>
        <w:pBdr/>
        <w:spacing/>
        <w:ind w:hanging="360" w:left="3589"/>
      </w:pPr>
      <w:rPr>
        <w:rFonts w:hint="default" w:ascii="Symbol" w:hAnsi="Symbol" w:eastAsia="Symbol" w:cs="Symbol"/>
        <w:color w:val="000000"/>
        <w:sz w:val="20"/>
      </w:rPr>
      <w:start w:val="1"/>
      <w:suff w:val="tab"/>
    </w:lvl>
    <w:lvl w:ilvl="5">
      <w:isLgl w:val="false"/>
      <w:lvlJc w:val="left"/>
      <w:lvlText w:val="·"/>
      <w:numFmt w:val="bullet"/>
      <w:pPr>
        <w:pBdr/>
        <w:spacing/>
        <w:ind w:hanging="360" w:left="4309"/>
      </w:pPr>
      <w:rPr>
        <w:rFonts w:hint="default" w:ascii="Symbol" w:hAnsi="Symbol" w:eastAsia="Symbol" w:cs="Symbol"/>
        <w:color w:val="000000"/>
        <w:sz w:val="20"/>
      </w:rPr>
      <w:start w:val="1"/>
      <w:suff w:val="tab"/>
    </w:lvl>
    <w:lvl w:ilvl="6">
      <w:isLgl w:val="false"/>
      <w:lvlJc w:val="left"/>
      <w:lvlText w:val="·"/>
      <w:numFmt w:val="bullet"/>
      <w:pPr>
        <w:pBdr/>
        <w:spacing/>
        <w:ind w:hanging="360" w:left="5029"/>
      </w:pPr>
      <w:rPr>
        <w:rFonts w:hint="default" w:ascii="Symbol" w:hAnsi="Symbol" w:eastAsia="Symbol" w:cs="Symbol"/>
        <w:color w:val="000000"/>
        <w:sz w:val="20"/>
      </w:rPr>
      <w:start w:val="1"/>
      <w:suff w:val="tab"/>
    </w:lvl>
    <w:lvl w:ilvl="7">
      <w:isLgl w:val="false"/>
      <w:lvlJc w:val="left"/>
      <w:lvlText w:val="·"/>
      <w:numFmt w:val="bullet"/>
      <w:pPr>
        <w:pBdr/>
        <w:spacing/>
        <w:ind w:hanging="360" w:left="5749"/>
      </w:pPr>
      <w:rPr>
        <w:rFonts w:hint="default" w:ascii="Symbol" w:hAnsi="Symbol" w:eastAsia="Symbol" w:cs="Symbol"/>
        <w:color w:val="000000"/>
        <w:sz w:val="20"/>
      </w:rPr>
      <w:start w:val="1"/>
      <w:suff w:val="tab"/>
    </w:lvl>
    <w:lvl w:ilvl="8">
      <w:isLgl w:val="false"/>
      <w:lvlJc w:val="left"/>
      <w:lvlText w:val="·"/>
      <w:numFmt w:val="bullet"/>
      <w:pPr>
        <w:pBdr/>
        <w:spacing/>
        <w:ind w:hanging="360" w:left="6469"/>
      </w:pPr>
      <w:rPr>
        <w:rFonts w:hint="default" w:ascii="Symbol" w:hAnsi="Symbol" w:eastAsia="Symbol" w:cs="Symbol"/>
        <w:color w:val="000000"/>
        <w:sz w:val="20"/>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ONLYOFFICE/8.3.0.97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2025-04-12T23:45:46Z</dcterms:modified>
</cp:coreProperties>
</file>