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Open Sans" w:hAnsi="Open Sans" w:cs="Open Sans"/>
          <w:sz w:val="22"/>
          <w:szCs w:val="22"/>
        </w:rPr>
      </w:pPr>
      <w:r>
        <w:rPr>
          <w:rFonts w:ascii="Open Sans" w:hAnsi="Open Sans" w:cs="Open Sans"/>
          <w:sz w:val="22"/>
          <w:szCs w:val="22"/>
        </w:rPr>
        <w:t xml:space="preserve">Student : Diego Bernal </w:t>
        <w:tab/>
        <w:tab/>
        <w:t xml:space="preserve">Id:1257853</w:t>
      </w:r>
      <w:r>
        <w:rPr>
          <w:rFonts w:ascii="Open Sans" w:hAnsi="Open Sans" w:cs="Open Sans"/>
          <w:sz w:val="22"/>
          <w:szCs w:val="22"/>
        </w:rPr>
      </w:r>
    </w:p>
    <w:p>
      <w:pPr>
        <w:pBdr/>
        <w:spacing/>
        <w:ind/>
        <w:rPr/>
      </w:pPr>
      <w:r>
        <w:rPr>
          <w:rFonts w:ascii="Open Sans" w:hAnsi="Open Sans" w:eastAsia="Open Sans" w:cs="Open Sans"/>
          <w:b/>
          <w:bCs/>
          <w:sz w:val="22"/>
          <w:szCs w:val="22"/>
          <w:highlight w:val="none"/>
        </w:rPr>
        <w:t xml:space="preserve">Project Report: Classification of Fresh and Rotten Fruits Using PyTorch</w:t>
      </w:r>
      <w:r>
        <w:rPr>
          <w:rFonts w:ascii="Open Sans" w:hAnsi="Open Sans" w:eastAsia="Open Sans" w:cs="Open Sans"/>
          <w:sz w:val="22"/>
          <w:szCs w:val="22"/>
          <w:highlight w:val="none"/>
        </w:rPr>
      </w:r>
    </w:p>
    <w:p>
      <w:pPr>
        <w:pBdr/>
        <w:spacing/>
        <w:ind/>
        <w:rPr/>
      </w:pPr>
      <w:r>
        <w:rPr>
          <w:rFonts w:ascii="Open Sans" w:hAnsi="Open Sans" w:eastAsia="Open Sans" w:cs="Open Sans"/>
          <w:b/>
          <w:bCs/>
          <w:sz w:val="22"/>
          <w:szCs w:val="22"/>
          <w:highlight w:val="none"/>
        </w:rPr>
        <w:t xml:space="preserve">1. Introduction and Overview</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This project aims to apply the knowledge acquired during the PyTorch course to solve different challenges in image analysis—starting with basic tasks like classification and progressing toward more complex, real-world applications.</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In the first stage, the Fruit Image Dataset was used with both Fresh and Rotten Fruits, which contains images divided into six categories: apples, bananas, and oranges — both fresh and rotten. The dataset is organized into separate folders for training and tes</w:t>
      </w:r>
      <w:r>
        <w:rPr>
          <w:rFonts w:ascii="Open Sans" w:hAnsi="Open Sans" w:eastAsia="Open Sans" w:cs="Open Sans"/>
          <w:sz w:val="22"/>
          <w:szCs w:val="22"/>
          <w:highlight w:val="none"/>
        </w:rPr>
        <w:t xml:space="preserve">ting. Using this dataset, we trained a convolutional neural network (CNN) from scratch to build a model capable of distinguishing between the different fruit categories. This stage involved data preprocessing, model design, training, evaluation, and present</w:t>
      </w:r>
      <w:r>
        <w:rPr>
          <w:rFonts w:ascii="Open Sans" w:hAnsi="Open Sans" w:eastAsia="Open Sans" w:cs="Open Sans"/>
          <w:sz w:val="22"/>
          <w:szCs w:val="22"/>
          <w:highlight w:val="none"/>
        </w:rPr>
        <w:t xml:space="preserve">ing the results.</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To deepen the analysis and apply more advanced techniques from the course, we later used a pretrained EfficientNet model, which was fine-tuned to classify the same six fruit categories. We also added functionality to analyze external images and used Grad-CA</w:t>
      </w:r>
      <w:r>
        <w:rPr>
          <w:rFonts w:ascii="Open Sans" w:hAnsi="Open Sans" w:eastAsia="Open Sans" w:cs="Open Sans"/>
          <w:sz w:val="22"/>
          <w:szCs w:val="22"/>
          <w:highlight w:val="none"/>
        </w:rPr>
        <w:t xml:space="preserve">M — a visualization tool that helps interpret which parts of the image the model focused on when making predictions.</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To take the project even further, we implemented a DETR (DEtection TRansformer) model, supported by a ResNet-50 backbone and pretrained on the COCO dataset. This model allowed us not only to recognize objects but also to locate them within images.</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Building on this, we applied DETR to video inputs, enabling object detection in motion — an important step toward more dynamic and practical real-world applications.</w:t>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Finally, we explored a potential real-world use case: integrating these models into computer vision systems for machines or robots. This would allow them to perceive and understand their surroundings in real time. Such visual analysis could be applied in ar</w:t>
      </w:r>
      <w:r>
        <w:rPr>
          <w:rFonts w:ascii="Open Sans" w:hAnsi="Open Sans" w:eastAsia="Open Sans" w:cs="Open Sans"/>
          <w:sz w:val="22"/>
          <w:szCs w:val="22"/>
          <w:highlight w:val="none"/>
        </w:rPr>
        <w:t xml:space="preserve">eas like automation, agriculture, manufacturing, and beyond.</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b/>
          <w:bCs/>
        </w:rPr>
      </w:pPr>
      <w:r>
        <w:rPr>
          <w:rFonts w:ascii="Open Sans" w:hAnsi="Open Sans" w:eastAsia="Open Sans" w:cs="Open Sans"/>
          <w:b/>
          <w:bCs/>
          <w:sz w:val="22"/>
          <w:szCs w:val="22"/>
          <w:highlight w:val="none"/>
        </w:rPr>
        <w:t xml:space="preserve">2. Project Evolution</w:t>
      </w:r>
      <w:r>
        <w:rPr>
          <w:rFonts w:ascii="Open Sans" w:hAnsi="Open Sans" w:eastAsia="Open Sans" w:cs="Open Sans"/>
          <w:b/>
          <w:bCs/>
          <w:sz w:val="22"/>
          <w:szCs w:val="22"/>
          <w:highlight w:val="none"/>
        </w:rPr>
      </w:r>
    </w:p>
    <w:p>
      <w:pPr>
        <w:pBdr/>
        <w:spacing/>
        <w:ind/>
        <w:rPr/>
      </w:pPr>
      <w:r>
        <w:rPr>
          <w:rFonts w:ascii="Open Sans" w:hAnsi="Open Sans" w:eastAsia="Open Sans" w:cs="Open Sans"/>
          <w:sz w:val="22"/>
          <w:szCs w:val="22"/>
          <w:highlight w:val="none"/>
        </w:rPr>
        <w:t xml:space="preserve">We initially began with the implementation of a CNN model for fruit image classification. This model performed well on both the test dataset and external images. Subsequently, to achieve a deeper level of analysis, we incorporated a pretrained EfficientNet </w:t>
      </w:r>
      <w:r>
        <w:rPr>
          <w:rFonts w:ascii="Open Sans" w:hAnsi="Open Sans" w:eastAsia="Open Sans" w:cs="Open Sans"/>
          <w:sz w:val="22"/>
          <w:szCs w:val="22"/>
          <w:highlight w:val="none"/>
        </w:rPr>
        <w:t xml:space="preserve">model, fine-tuned for our specific classification task.</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Later, we shifted our focus from image classification to object detection, implementing the DETR model for this purpose. Finally, we extended this implementation by applying DETR to video input, enabling the detection of elements in real-time sequences.</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pPr>
      <w:r>
        <w:rPr>
          <w:rFonts w:ascii="Open Sans" w:hAnsi="Open Sans" w:eastAsia="Open Sans" w:cs="Open Sans"/>
          <w:b/>
          <w:bCs/>
          <w:sz w:val="22"/>
          <w:szCs w:val="22"/>
          <w:highlight w:val="none"/>
        </w:rPr>
        <w:t xml:space="preserve">3. Code Implementations</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Inside the Report Details folder, you’ll find the detailed implementations of each model used:</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Report-A: Contains the initial CNN implementation trained with the Fruit Image Dataset: Fresh and Rotten Fruits.</w:t>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Report-B: Includes the implementation of a pretrained EfficientNet model adapted to classify the six fruit categories. Additionally, Grad-CAM was integrated to visualize where the model focuses during classification.</w:t>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Report-C: Contains the DETR model implementation, adapted from the class example and modified to meet our objective of fruit detection.</w:t>
      </w:r>
      <w:r>
        <w:rPr>
          <w:rFonts w:ascii="Open Sans" w:hAnsi="Open Sans" w:eastAsia="Open Sans" w:cs="Open Sans"/>
          <w:sz w:val="22"/>
          <w:szCs w:val="22"/>
          <w:highlight w:val="none"/>
        </w:rPr>
      </w: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Report-D: Builds on the previous implementation by applying DETR to video inputs for real-time object detection.</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b/>
          <w:bCs/>
        </w:rPr>
      </w:pPr>
      <w:r>
        <w:rPr>
          <w:rFonts w:ascii="Open Sans" w:hAnsi="Open Sans" w:eastAsia="Open Sans" w:cs="Open Sans"/>
          <w:b/>
          <w:bCs/>
          <w:sz w:val="22"/>
          <w:szCs w:val="22"/>
          <w:highlight w:val="none"/>
        </w:rPr>
        <w:t xml:space="preserve">4. Project Development</w:t>
      </w:r>
      <w:r>
        <w:rPr>
          <w:rFonts w:ascii="Open Sans" w:hAnsi="Open Sans" w:eastAsia="Open Sans" w:cs="Open Sans"/>
          <w:b/>
          <w:bCs/>
          <w:sz w:val="22"/>
          <w:szCs w:val="22"/>
          <w:highlight w:val="none"/>
        </w:rPr>
      </w:r>
    </w:p>
    <w:p>
      <w:pPr>
        <w:pBdr/>
        <w:spacing/>
        <w:ind/>
        <w:rPr/>
      </w:pPr>
      <w:r>
        <w:rPr>
          <w:rFonts w:ascii="Open Sans" w:hAnsi="Open Sans" w:eastAsia="Open Sans" w:cs="Open Sans"/>
          <w:sz w:val="22"/>
          <w:szCs w:val="22"/>
          <w:highlight w:val="none"/>
        </w:rPr>
        <w:t xml:space="preserve">Once the base implementations were completed individually, the next goal was to integrate them into a web-based project to provide more realistic and accessible interaction with the models.</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The main components of the project are structured as follows:</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-47625</wp:posOffset>
                </wp:positionH>
                <wp:positionV relativeFrom="paragraph">
                  <wp:posOffset>66833</wp:posOffset>
                </wp:positionV>
                <wp:extent cx="2114024" cy="3238097"/>
                <wp:effectExtent l="0" t="0" r="0" b="0"/>
                <wp:wrapTight wrapText="bothSides">
                  <wp:wrapPolygon edited="1">
                    <wp:start x="0" y="0"/>
                    <wp:lineTo x="21600" y="0"/>
                    <wp:lineTo x="21600" y="21600"/>
                    <wp:lineTo x="0" y="21600"/>
                  </wp:wrapPolygon>
                </wp:wrapTight>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86532" name=""/>
                        <pic:cNvPicPr>
                          <a:picLocks noChangeAspect="1"/>
                        </pic:cNvPicPr>
                        <pic:nvPr/>
                      </pic:nvPicPr>
                      <pic:blipFill>
                        <a:blip r:embed="rId9"/>
                        <a:stretch/>
                      </pic:blipFill>
                      <pic:spPr bwMode="auto">
                        <a:xfrm rot="0" flipH="0" flipV="0">
                          <a:off x="0" y="0"/>
                          <a:ext cx="2114023" cy="323809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3.75pt;mso-position-horizontal:absolute;mso-position-vertical-relative:text;margin-top:5.26pt;mso-position-vertical:absolute;width:166.46pt;height:254.97pt;mso-wrap-distance-left:9.07pt;mso-wrap-distance-top:0.00pt;mso-wrap-distance-right:9.07pt;mso-wrap-distance-bottom:0.00pt;rotation:0;z-index:1;" wrapcoords="0 0 100000 0 100000 100000 0 100000" stroked="false">
                <w10:wrap type="tight"/>
                <v:imagedata r:id="rId9" o:title=""/>
                <o:lock v:ext="edit" rotation="t"/>
              </v:shape>
            </w:pict>
          </mc:Fallback>
        </mc:AlternateContent>
      </w:r>
      <w:r/>
      <w:r/>
    </w:p>
    <w:p>
      <w:pPr>
        <w:pBdr/>
        <w:spacing/>
        <w:ind/>
        <w:rPr/>
      </w:pPr>
      <w:r>
        <w:rPr>
          <w:rFonts w:ascii="Open Sans" w:hAnsi="Open Sans" w:eastAsia="Open Sans" w:cs="Open Sans"/>
          <w:sz w:val="22"/>
          <w:szCs w:val="22"/>
          <w:highlight w:val="none"/>
        </w:rPr>
        <w:t xml:space="preserve">-app/: Contains the web interface and server code required to deploy the application.</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-data/: Stores the datasets used for training and evaluation.</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-models/: Includes the saved model files used in the application.</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-utils/: Contains utility functions for connecting the models with the web server.</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This modular structure allows for scalability and the incorporation of additional models and features as needed. It also helps organize and deploy the implemented models in a clean and maintainable way.</w:t>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pPr>
      <w:r>
        <w:rPr>
          <w:rFonts w:ascii="Open Sans" w:hAnsi="Open Sans" w:eastAsia="Open Sans" w:cs="Open Sans"/>
          <w:b/>
          <w:bCs/>
          <w:sz w:val="22"/>
          <w:szCs w:val="22"/>
          <w:highlight w:val="none"/>
        </w:rPr>
        <w:t xml:space="preserve">5. Real-World Application</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The DETR model is a strong candidate for object detection and segmentation tasks, making it a valuable tool for machine and robotic vision. By leveraging transformer architecture, DETR overcomes the limitations of traditional convolution-based detection met</w:t>
      </w:r>
      <w:r>
        <w:rPr>
          <w:rFonts w:ascii="Open Sans" w:hAnsi="Open Sans" w:eastAsia="Open Sans" w:cs="Open Sans"/>
          <w:sz w:val="22"/>
          <w:szCs w:val="22"/>
          <w:highlight w:val="none"/>
        </w:rPr>
        <w:t xml:space="preserve">hods, offering improved generalization and flexibility in complex scenarios.</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In robotic applications, this model could enable robots to accurately recognize and locate objects within their environment, facilitating tasks such as automated manipulation, navigation in dynamic spaces, and human interaction. Additionally, DETR’s scalabi</w:t>
      </w:r>
      <w:r>
        <w:rPr>
          <w:rFonts w:ascii="Open Sans" w:hAnsi="Open Sans" w:eastAsia="Open Sans" w:cs="Open Sans"/>
          <w:sz w:val="22"/>
          <w:szCs w:val="22"/>
          <w:highlight w:val="none"/>
        </w:rPr>
        <w:t xml:space="preserve">lity allows it to adapt to various sensors and environments, improving the autonomy and efficiency of robotic systems across industrial, logistical, and service domains.</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pPr>
      <w:r>
        <w:rPr>
          <w:rFonts w:ascii="Open Sans" w:hAnsi="Open Sans" w:eastAsia="Open Sans" w:cs="Open Sans"/>
          <w:b/>
          <w:bCs/>
          <w:sz w:val="22"/>
          <w:szCs w:val="22"/>
          <w:highlight w:val="none"/>
        </w:rPr>
        <w:t xml:space="preserve">6. Challenges Encountered</w:t>
      </w:r>
      <w:r>
        <w:rPr>
          <w:rFonts w:ascii="Open Sans" w:hAnsi="Open Sans" w:eastAsia="Open Sans" w:cs="Open Sans"/>
          <w:sz w:val="22"/>
          <w:szCs w:val="22"/>
          <w:highlight w:val="none"/>
        </w:rPr>
      </w:r>
    </w:p>
    <w:p>
      <w:pPr>
        <w:pBdr/>
        <w:spacing/>
        <w:ind/>
        <w:rPr/>
      </w:pPr>
      <w:r>
        <w:rPr>
          <w:rFonts w:ascii="Open Sans" w:hAnsi="Open Sans" w:eastAsia="Open Sans" w:cs="Open Sans"/>
          <w:sz w:val="22"/>
          <w:szCs w:val="22"/>
          <w:highlight w:val="none"/>
        </w:rPr>
        <w:t xml:space="preserve">The transition from an academic approach using Jupyter Notebook to a more professional, web-oriented project posed a significant challenge. It required a deep understanding of the models themselves and also good code structuring to ensure a funct</w:t>
      </w:r>
      <w:r>
        <w:rPr>
          <w:rFonts w:ascii="Open Sans" w:hAnsi="Open Sans" w:eastAsia="Open Sans" w:cs="Open Sans"/>
          <w:sz w:val="22"/>
          <w:szCs w:val="22"/>
          <w:highlight w:val="none"/>
        </w:rPr>
        <w:t xml:space="preserve">ional and maintainable final product.</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While image classification and detection models share some foundational concepts, each presents its own challenges. As model efficiency increases, so does complexity, requiring more in-depth technical knowledge for correct implementation, and </w:t>
      </w:r>
      <w:r>
        <w:rPr>
          <w:rFonts w:ascii="Open Sans" w:hAnsi="Open Sans" w:eastAsia="Open Sans" w:cs="Open Sans"/>
          <w:sz w:val="22"/>
          <w:szCs w:val="22"/>
          <w:highlight w:val="none"/>
        </w:rPr>
        <w:t xml:space="preserve">interpretation.</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b/>
          <w:bCs/>
          <w:sz w:val="22"/>
          <w:szCs w:val="22"/>
          <w:highlight w:val="none"/>
        </w:rPr>
        <w:t xml:space="preserve">7. References</w:t>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-Carion, N., Massa, F., Synnaeve, G., Usunier, N., Kirillov, A., &amp; Zagoruyko, S. (2020). End-to-End object detection with transformers (DETR). European Conference on Computer Vision (ECCV). </w:t>
      </w:r>
      <w:hyperlink r:id="rId10" w:tooltip="https://arxiv.org/abs/2005.12872" w:history="1">
        <w:r>
          <w:rPr>
            <w:rStyle w:val="894"/>
            <w:rFonts w:ascii="Open Sans" w:hAnsi="Open Sans" w:eastAsia="Open Sans" w:cs="Open Sans"/>
            <w:sz w:val="22"/>
            <w:szCs w:val="22"/>
            <w:highlight w:val="none"/>
          </w:rPr>
          <w:t xml:space="preserve">https://arxiv.org/abs/2005.12872</w:t>
        </w:r>
        <w:r>
          <w:rPr>
            <w:rStyle w:val="894"/>
            <w:rFonts w:ascii="Open Sans" w:hAnsi="Open Sans" w:eastAsia="Open Sans" w:cs="Open Sans"/>
            <w:sz w:val="22"/>
            <w:szCs w:val="22"/>
            <w:highlight w:val="none"/>
          </w:rPr>
        </w:r>
      </w:hyperlink>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-Paszke, A., Gross, S., Massa, F., Lerer, A., Bradbury, J., Chanan, G., Killeen, T., Lin, Z., Gimelshein, N., Antiga, L., Desmaison, A., Kopf, A., Yang, E., DeVito, Z., Raison, M., Tejani, A., Chilamkurthy, S., Steiner, B., Fang, L., ... &amp; Chintala, S. (2019</w:t>
      </w:r>
      <w:r>
        <w:rPr>
          <w:rFonts w:ascii="Open Sans" w:hAnsi="Open Sans" w:eastAsia="Open Sans" w:cs="Open Sans"/>
          <w:sz w:val="22"/>
          <w:szCs w:val="22"/>
          <w:highlight w:val="none"/>
        </w:rPr>
        <w:t xml:space="preserve">). PyTorch: An imperative style, high-performance deep learning library. Advances in Neural Information Processing Systems, 32. </w:t>
      </w:r>
      <w:hyperlink r:id="rId11" w:tooltip="https://papers.nips.cc/paper_files/paper/2019/hash/bdbca288fee7f92f2bfa9f7012727740-Abstract.html" w:history="1">
        <w:r>
          <w:rPr>
            <w:rStyle w:val="894"/>
            <w:rFonts w:ascii="Open Sans" w:hAnsi="Open Sans" w:eastAsia="Open Sans" w:cs="Open Sans"/>
            <w:sz w:val="22"/>
            <w:szCs w:val="22"/>
            <w:highlight w:val="none"/>
          </w:rPr>
          <w:t xml:space="preserve">https://papers.nips.cc/paper_files/paper/2019/hash/bdbca288fee7f92f2bfa9f7012727740-Abstract.html</w:t>
        </w:r>
        <w:r>
          <w:rPr>
            <w:rStyle w:val="894"/>
            <w:rFonts w:ascii="Open Sans" w:hAnsi="Open Sans" w:eastAsia="Open Sans" w:cs="Open Sans"/>
            <w:sz w:val="22"/>
            <w:szCs w:val="22"/>
            <w:highlight w:val="none"/>
          </w:rPr>
        </w:r>
      </w:hyperlink>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-Tan, M., &amp; Le, Q. (2019). EfficientNet: Rethinking model scaling for convolutional neural networks. International Conference on Machine Learning (ICML). </w:t>
      </w:r>
      <w:hyperlink r:id="rId12" w:tooltip="https://arxiv.org/abs/1905.11946" w:history="1">
        <w:r>
          <w:rPr>
            <w:rStyle w:val="894"/>
            <w:rFonts w:ascii="Open Sans" w:hAnsi="Open Sans" w:eastAsia="Open Sans" w:cs="Open Sans"/>
            <w:sz w:val="22"/>
            <w:szCs w:val="22"/>
            <w:highlight w:val="none"/>
          </w:rPr>
          <w:t xml:space="preserve">https://arxiv.org/abs/1905.11946</w:t>
        </w:r>
        <w:r>
          <w:rPr>
            <w:rStyle w:val="894"/>
            <w:rFonts w:ascii="Open Sans" w:hAnsi="Open Sans" w:eastAsia="Open Sans" w:cs="Open Sans"/>
            <w:sz w:val="22"/>
            <w:szCs w:val="22"/>
            <w:highlight w:val="none"/>
          </w:rPr>
        </w:r>
      </w:hyperlink>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-Torchvision. (n.d.). Torchvision library – PyTorch. PyTorch. </w:t>
      </w:r>
      <w:hyperlink r:id="rId13" w:tooltip="https://pytorch.org/vision/stable/index.html" w:history="1">
        <w:r>
          <w:rPr>
            <w:rStyle w:val="894"/>
            <w:rFonts w:ascii="Open Sans" w:hAnsi="Open Sans" w:eastAsia="Open Sans" w:cs="Open Sans"/>
            <w:sz w:val="22"/>
            <w:szCs w:val="22"/>
            <w:highlight w:val="none"/>
          </w:rPr>
          <w:t xml:space="preserve">https://pytorch.org/vision/stable/index.html</w:t>
        </w:r>
        <w:r>
          <w:rPr>
            <w:rStyle w:val="894"/>
            <w:rFonts w:ascii="Open Sans" w:hAnsi="Open Sans" w:eastAsia="Open Sans" w:cs="Open Sans"/>
            <w:sz w:val="22"/>
            <w:szCs w:val="22"/>
            <w:highlight w:val="none"/>
          </w:rPr>
        </w:r>
      </w:hyperlink>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-Kritik Seth. (n.d.). Fruit Image Dataset: Fresh and Rotten Fruits. Kaggle. </w:t>
      </w:r>
      <w:hyperlink r:id="rId14" w:tooltip="https://www.kaggle.com/datasets/kritikseth/fruit-image-dataset" w:history="1">
        <w:r>
          <w:rPr>
            <w:rStyle w:val="894"/>
            <w:rFonts w:ascii="Open Sans" w:hAnsi="Open Sans" w:eastAsia="Open Sans" w:cs="Open Sans"/>
            <w:sz w:val="22"/>
            <w:szCs w:val="22"/>
            <w:highlight w:val="none"/>
          </w:rPr>
          <w:t xml:space="preserve">https://www.kaggle.com/datasets/kritikseth/fruit-image-dataset</w:t>
        </w:r>
        <w:r>
          <w:rPr>
            <w:rStyle w:val="894"/>
            <w:rFonts w:ascii="Open Sans" w:hAnsi="Open Sans" w:eastAsia="Open Sans" w:cs="Open Sans"/>
            <w:sz w:val="22"/>
            <w:szCs w:val="22"/>
            <w:highlight w:val="none"/>
          </w:rPr>
        </w:r>
        <w:r>
          <w:rPr>
            <w:rStyle w:val="894"/>
            <w:rFonts w:ascii="Open Sans" w:hAnsi="Open Sans" w:eastAsia="Open Sans" w:cs="Open Sans"/>
            <w:sz w:val="22"/>
            <w:szCs w:val="22"/>
            <w:highlight w:val="none"/>
          </w:rPr>
        </w:r>
        <w:r>
          <w:rPr>
            <w:rStyle w:val="894"/>
            <w:rFonts w:ascii="Open Sans" w:hAnsi="Open Sans" w:eastAsia="Open Sans" w:cs="Open Sans"/>
            <w:sz w:val="22"/>
            <w:szCs w:val="22"/>
            <w:highlight w:val="none"/>
          </w:rPr>
        </w:r>
      </w:hyperlink>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sectPr>
      <w:footnotePr/>
      <w:endnotePr/>
      <w:type w:val="nextPage"/>
      <w:pgSz w:h="15840" w:orient="portrait" w:w="12240"/>
      <w:pgMar w:top="720" w:right="720" w:bottom="720" w:left="72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Times">
    <w:panose1 w:val="00000500000000020000"/>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7">
    <w:lvl w:ilvl="0">
      <w:isLgl w:val="false"/>
      <w:lvlJc w:val="right"/>
      <w:lvlText w:val="%1."/>
      <w:numFmt w:val="decimal"/>
      <w:pPr>
        <w:pBdr/>
        <w:spacing/>
        <w:ind w:hanging="360" w:left="709"/>
      </w:pPr>
      <w:rPr>
        <w:rFonts w:ascii="Times" w:hAnsi="Times" w:eastAsia="Times" w:cs="Time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4">
    <w:name w:val="List Table 7 Colorful - Accent 3"/>
    <w:basedOn w:val="9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5">
    <w:name w:val="List Table 7 Colorful - Accent 4"/>
    <w:basedOn w:val="9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7">
    <w:name w:val="List Table 7 Colorful - Accent 6"/>
    <w:basedOn w:val="9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7"/>
    <w:next w:val="907"/>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7"/>
    <w:next w:val="907"/>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7"/>
    <w:next w:val="907"/>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7"/>
    <w:next w:val="907"/>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7"/>
    <w:next w:val="907"/>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7"/>
    <w:next w:val="907"/>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7"/>
    <w:next w:val="907"/>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7"/>
    <w:next w:val="907"/>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7"/>
    <w:next w:val="907"/>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basedOn w:val="858"/>
    <w:link w:val="850"/>
    <w:uiPriority w:val="9"/>
    <w:pPr>
      <w:pBdr/>
      <w:spacing/>
      <w:ind/>
    </w:pPr>
    <w:rPr>
      <w:rFonts w:ascii="Arial" w:hAnsi="Arial" w:eastAsia="Arial" w:cs="Arial"/>
      <w:color w:val="0f4761" w:themeColor="accent1" w:themeShade="BF"/>
      <w:sz w:val="32"/>
      <w:szCs w:val="32"/>
    </w:r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7"/>
    <w:next w:val="907"/>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7"/>
    <w:next w:val="907"/>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7"/>
    <w:next w:val="907"/>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7"/>
    <w:next w:val="907"/>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7"/>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7"/>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7"/>
    <w:next w:val="907"/>
    <w:uiPriority w:val="35"/>
    <w:unhideWhenUsed/>
    <w:qFormat/>
    <w:pPr>
      <w:pBdr/>
      <w:spacing w:after="200" w:line="240" w:lineRule="auto"/>
      <w:ind/>
    </w:pPr>
    <w:rPr>
      <w:i/>
      <w:iCs/>
      <w:color w:val="0e2841" w:themeColor="text2"/>
      <w:sz w:val="18"/>
      <w:szCs w:val="18"/>
    </w:rPr>
  </w:style>
  <w:style w:type="paragraph" w:styleId="888">
    <w:name w:val="footnote text"/>
    <w:basedOn w:val="907"/>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7"/>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7"/>
    <w:next w:val="907"/>
    <w:uiPriority w:val="39"/>
    <w:unhideWhenUsed/>
    <w:pPr>
      <w:pBdr/>
      <w:spacing w:after="100"/>
      <w:ind/>
    </w:pPr>
  </w:style>
  <w:style w:type="paragraph" w:styleId="897">
    <w:name w:val="toc 2"/>
    <w:basedOn w:val="907"/>
    <w:next w:val="907"/>
    <w:uiPriority w:val="39"/>
    <w:unhideWhenUsed/>
    <w:pPr>
      <w:pBdr/>
      <w:spacing w:after="100"/>
      <w:ind w:left="220"/>
    </w:pPr>
  </w:style>
  <w:style w:type="paragraph" w:styleId="898">
    <w:name w:val="toc 3"/>
    <w:basedOn w:val="907"/>
    <w:next w:val="907"/>
    <w:uiPriority w:val="39"/>
    <w:unhideWhenUsed/>
    <w:pPr>
      <w:pBdr/>
      <w:spacing w:after="100"/>
      <w:ind w:left="440"/>
    </w:pPr>
  </w:style>
  <w:style w:type="paragraph" w:styleId="899">
    <w:name w:val="toc 4"/>
    <w:basedOn w:val="907"/>
    <w:next w:val="907"/>
    <w:uiPriority w:val="39"/>
    <w:unhideWhenUsed/>
    <w:pPr>
      <w:pBdr/>
      <w:spacing w:after="100"/>
      <w:ind w:left="660"/>
    </w:pPr>
  </w:style>
  <w:style w:type="paragraph" w:styleId="900">
    <w:name w:val="toc 5"/>
    <w:basedOn w:val="907"/>
    <w:next w:val="907"/>
    <w:uiPriority w:val="39"/>
    <w:unhideWhenUsed/>
    <w:pPr>
      <w:pBdr/>
      <w:spacing w:after="100"/>
      <w:ind w:left="880"/>
    </w:pPr>
  </w:style>
  <w:style w:type="paragraph" w:styleId="901">
    <w:name w:val="toc 6"/>
    <w:basedOn w:val="907"/>
    <w:next w:val="907"/>
    <w:uiPriority w:val="39"/>
    <w:unhideWhenUsed/>
    <w:pPr>
      <w:pBdr/>
      <w:spacing w:after="100"/>
      <w:ind w:left="1100"/>
    </w:pPr>
  </w:style>
  <w:style w:type="paragraph" w:styleId="902">
    <w:name w:val="toc 7"/>
    <w:basedOn w:val="907"/>
    <w:next w:val="907"/>
    <w:uiPriority w:val="39"/>
    <w:unhideWhenUsed/>
    <w:pPr>
      <w:pBdr/>
      <w:spacing w:after="100"/>
      <w:ind w:left="1320"/>
    </w:pPr>
  </w:style>
  <w:style w:type="paragraph" w:styleId="903">
    <w:name w:val="toc 8"/>
    <w:basedOn w:val="907"/>
    <w:next w:val="907"/>
    <w:uiPriority w:val="39"/>
    <w:unhideWhenUsed/>
    <w:pPr>
      <w:pBdr/>
      <w:spacing w:after="100"/>
      <w:ind w:left="1540"/>
    </w:pPr>
  </w:style>
  <w:style w:type="paragraph" w:styleId="904">
    <w:name w:val="toc 9"/>
    <w:basedOn w:val="907"/>
    <w:next w:val="907"/>
    <w:uiPriority w:val="39"/>
    <w:unhideWhenUsed/>
    <w:pPr>
      <w:pBdr/>
      <w:spacing w:after="100"/>
      <w:ind w:left="1760"/>
    </w:p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qFormat/>
    <w:pPr>
      <w:pBdr/>
      <w:spacing/>
      <w:ind/>
    </w:pPr>
  </w:style>
  <w:style w:type="table" w:styleId="90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9" w:default="1">
    <w:name w:val="No List"/>
    <w:uiPriority w:val="99"/>
    <w:semiHidden/>
    <w:unhideWhenUsed/>
    <w:pPr>
      <w:pBdr/>
      <w:spacing/>
      <w:ind/>
    </w:pPr>
  </w:style>
  <w:style w:type="paragraph" w:styleId="910">
    <w:name w:val="No Spacing"/>
    <w:basedOn w:val="907"/>
    <w:uiPriority w:val="1"/>
    <w:qFormat/>
    <w:pPr>
      <w:pBdr/>
      <w:spacing w:after="0" w:line="240" w:lineRule="auto"/>
      <w:ind/>
    </w:pPr>
  </w:style>
  <w:style w:type="paragraph" w:styleId="911">
    <w:name w:val="List Paragraph"/>
    <w:basedOn w:val="90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arxiv.org/abs/2005.12872" TargetMode="External"/><Relationship Id="rId11" Type="http://schemas.openxmlformats.org/officeDocument/2006/relationships/hyperlink" Target="https://papers.nips.cc/paper_files/paper/2019/hash/bdbca288fee7f92f2bfa9f7012727740-Abstract.html" TargetMode="External"/><Relationship Id="rId12" Type="http://schemas.openxmlformats.org/officeDocument/2006/relationships/hyperlink" Target="https://arxiv.org/abs/1905.11946" TargetMode="External"/><Relationship Id="rId13" Type="http://schemas.openxmlformats.org/officeDocument/2006/relationships/hyperlink" Target="https://pytorch.org/vision/stable/index.html" TargetMode="External"/><Relationship Id="rId14" Type="http://schemas.openxmlformats.org/officeDocument/2006/relationships/hyperlink" Target="https://www.kaggle.com/datasets/kritikseth/fruit-image-datase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2025-04-13T03:38:59Z</dcterms:modified>
</cp:coreProperties>
</file>