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C1018" w14:textId="77777777" w:rsidR="00990242" w:rsidRDefault="00000000">
      <w:pPr>
        <w:pStyle w:val="Heading2"/>
        <w:spacing w:before="0"/>
      </w:pPr>
      <w:bookmarkStart w:id="0" w:name="_uduk37jhmd5a" w:colFirst="0" w:colLast="0"/>
      <w:bookmarkEnd w:id="0"/>
      <w:r>
        <w:t>Modeling the Relationship Between the London Stock Exchange (FTSE 100) and Global Macroeconomic Indicators: A Log-Linear VAR Analysis (1925–2025)</w:t>
      </w:r>
    </w:p>
    <w:p w14:paraId="2872160D" w14:textId="77777777" w:rsidR="00990242" w:rsidRDefault="00990242"/>
    <w:p w14:paraId="3BC4C671" w14:textId="77777777" w:rsidR="00990242" w:rsidRDefault="00000000">
      <w:pPr>
        <w:pStyle w:val="Heading3"/>
      </w:pPr>
      <w:bookmarkStart w:id="1" w:name="_df2d0n3cybf7" w:colFirst="0" w:colLast="0"/>
      <w:bookmarkEnd w:id="1"/>
      <w:r>
        <w:t>1. Conceptual Foundation</w:t>
      </w:r>
    </w:p>
    <w:p w14:paraId="06FDAF1A" w14:textId="77777777" w:rsidR="00990242" w:rsidRDefault="00000000">
      <w:r>
        <w:t>1.1. Objective</w:t>
      </w:r>
    </w:p>
    <w:p w14:paraId="4D3327F3" w14:textId="77777777" w:rsidR="00990242" w:rsidRDefault="00990242"/>
    <w:p w14:paraId="3E907543" w14:textId="77777777" w:rsidR="00990242" w:rsidRDefault="00000000">
      <w:r>
        <w:t>This coursework aims to empirically analyze the long-run and short-run relationships between the London Stock Exchange (FTSE 100) and three core global macroeconomic indicators — global oil prices, gold prices, and global GDP — using a log-linear Vector Autoregression (VAR) framework.</w:t>
      </w:r>
    </w:p>
    <w:p w14:paraId="46EF58F7" w14:textId="77777777" w:rsidR="00990242" w:rsidRDefault="00000000">
      <w:r>
        <w:t>Additionally, the model incorporates control variables that capture both macroeconomic fundamentals and market sentiment factors, providing a richer econometric structure to explain stock market dynamics and volatility transmission.</w:t>
      </w:r>
    </w:p>
    <w:p w14:paraId="6734DC76" w14:textId="77777777" w:rsidR="00990242" w:rsidRDefault="00990242"/>
    <w:p w14:paraId="71FA87CF" w14:textId="77777777" w:rsidR="00990242" w:rsidRDefault="00000000">
      <w:r>
        <w:t>1.2. Research Question</w:t>
      </w:r>
    </w:p>
    <w:p w14:paraId="33391473" w14:textId="77777777" w:rsidR="00990242" w:rsidRDefault="00990242"/>
    <w:p w14:paraId="2FD24A2F" w14:textId="77777777" w:rsidR="00990242" w:rsidRDefault="00000000">
      <w:r>
        <w:t>How do global commodity prices and global economic output influence movements in the London Stock Exchange Index, and how have these relationships evolved across major economic regimes over the last century?</w:t>
      </w:r>
    </w:p>
    <w:p w14:paraId="3174AEB6" w14:textId="77777777" w:rsidR="00990242" w:rsidRDefault="00990242"/>
    <w:p w14:paraId="645F5A73" w14:textId="77777777" w:rsidR="00990242" w:rsidRDefault="00000000">
      <w:r>
        <w:t>1.3. Rationale for Model Choice</w:t>
      </w:r>
    </w:p>
    <w:p w14:paraId="391DE1EB" w14:textId="77777777" w:rsidR="00990242" w:rsidRDefault="00990242"/>
    <w:p w14:paraId="4A70BCAD" w14:textId="77777777" w:rsidR="00990242" w:rsidRDefault="00000000">
      <w:r>
        <w:t>The selected model is:</w:t>
      </w:r>
    </w:p>
    <w:p w14:paraId="62031D8D" w14:textId="77777777" w:rsidR="00990242" w:rsidRDefault="00000000">
      <w:r>
        <w:rPr>
          <w:noProof/>
        </w:rPr>
        <w:drawing>
          <wp:inline distT="114300" distB="114300" distL="114300" distR="114300" wp14:anchorId="569C05E2" wp14:editId="3A9A9B99">
            <wp:extent cx="5943600" cy="393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93700"/>
                    </a:xfrm>
                    <a:prstGeom prst="rect">
                      <a:avLst/>
                    </a:prstGeom>
                    <a:ln/>
                  </pic:spPr>
                </pic:pic>
              </a:graphicData>
            </a:graphic>
          </wp:inline>
        </w:drawing>
      </w:r>
    </w:p>
    <w:p w14:paraId="2C9188DC" w14:textId="77777777" w:rsidR="00990242" w:rsidRDefault="00000000">
      <w:r>
        <w:tab/>
        <w:t>​</w:t>
      </w:r>
    </w:p>
    <w:p w14:paraId="663C2335" w14:textId="77777777" w:rsidR="00990242" w:rsidRDefault="00990242"/>
    <w:p w14:paraId="2C1F8671" w14:textId="77777777" w:rsidR="00990242" w:rsidRDefault="00000000">
      <w:r>
        <w:t>Justification:</w:t>
      </w:r>
    </w:p>
    <w:p w14:paraId="50755CE4" w14:textId="77777777" w:rsidR="00990242" w:rsidRDefault="00990242"/>
    <w:p w14:paraId="41796760" w14:textId="77777777" w:rsidR="00990242" w:rsidRDefault="00000000">
      <w:r>
        <w:t>The log-linear form is chosen because economic and financial time series typically exhibit nonlinear growth patterns and heteroskedastic variance. Log transformation stabilizes variance and allows coefficients to be interpreted as elasticities, revealing proportional rather than absolute impacts.</w:t>
      </w:r>
    </w:p>
    <w:p w14:paraId="697FB1D4" w14:textId="77777777" w:rsidR="00990242" w:rsidRDefault="00990242"/>
    <w:p w14:paraId="62D5F7B1" w14:textId="77777777" w:rsidR="00990242" w:rsidRDefault="00000000">
      <w:r>
        <w:t>This specification captures multiplicative interactions (i.e., percentage changes in independent variables correspond to percentage changes in LSE), reflecting real-world financial relationships where growth rates matter more than levels.</w:t>
      </w:r>
    </w:p>
    <w:p w14:paraId="458C2DCC" w14:textId="77777777" w:rsidR="00990242" w:rsidRDefault="00990242"/>
    <w:p w14:paraId="2DC5C58D" w14:textId="77777777" w:rsidR="00990242" w:rsidRDefault="00000000">
      <w:r>
        <w:lastRenderedPageBreak/>
        <w:t>Moreover, a logarithmic model facilitates smoother interpretation over long-term periods that include regime shifts and inflationary eras.</w:t>
      </w:r>
    </w:p>
    <w:p w14:paraId="17386EEB" w14:textId="77777777" w:rsidR="00990242" w:rsidRDefault="00990242"/>
    <w:p w14:paraId="6B03E5CA" w14:textId="77777777" w:rsidR="00990242" w:rsidRDefault="00000000">
      <w:pPr>
        <w:pStyle w:val="Heading3"/>
      </w:pPr>
      <w:bookmarkStart w:id="2" w:name="_vwsvwr56ydbq" w:colFirst="0" w:colLast="0"/>
      <w:bookmarkEnd w:id="2"/>
      <w:r>
        <w:t>2. Data Design and Scope</w:t>
      </w:r>
    </w:p>
    <w:p w14:paraId="0F936DF9" w14:textId="77777777" w:rsidR="00990242" w:rsidRDefault="00000000">
      <w:r>
        <w:t>2.1. Time Horizon and Frequency</w:t>
      </w:r>
    </w:p>
    <w:p w14:paraId="25EE990A" w14:textId="77777777" w:rsidR="00990242" w:rsidRDefault="00990242"/>
    <w:p w14:paraId="4D71D538" w14:textId="77777777" w:rsidR="00990242" w:rsidRDefault="00000000">
      <w:pPr>
        <w:numPr>
          <w:ilvl w:val="0"/>
          <w:numId w:val="6"/>
        </w:numPr>
      </w:pPr>
      <w:r>
        <w:t>Period: 1925–2025 (100 years)</w:t>
      </w:r>
    </w:p>
    <w:p w14:paraId="230DB537" w14:textId="77777777" w:rsidR="00990242" w:rsidRDefault="00000000">
      <w:pPr>
        <w:numPr>
          <w:ilvl w:val="0"/>
          <w:numId w:val="6"/>
        </w:numPr>
      </w:pPr>
      <w:r>
        <w:t>Frequency: Quarterly observations</w:t>
      </w:r>
    </w:p>
    <w:p w14:paraId="5FEDB9B9" w14:textId="77777777" w:rsidR="00990242" w:rsidRDefault="00990242">
      <w:pPr>
        <w:rPr>
          <w:b/>
          <w:bCs/>
        </w:rPr>
      </w:pPr>
    </w:p>
    <w:p w14:paraId="3DFAD7A2" w14:textId="77777777" w:rsidR="00990242" w:rsidRDefault="00000000">
      <w:pPr>
        <w:rPr>
          <w:b/>
          <w:bCs/>
        </w:rPr>
      </w:pPr>
      <w:r>
        <w:rPr>
          <w:b/>
          <w:bCs/>
        </w:rPr>
        <w:t xml:space="preserve">1985–2025 (40 years) quarterly because Problem: FTSE 100 launched in 1984. No reliable 100-year data </w:t>
      </w:r>
      <w:proofErr w:type="gramStart"/>
      <w:r>
        <w:rPr>
          <w:b/>
          <w:bCs/>
        </w:rPr>
        <w:t>exists</w:t>
      </w:r>
      <w:proofErr w:type="gramEnd"/>
      <w:r>
        <w:rPr>
          <w:b/>
          <w:bCs/>
        </w:rPr>
        <w:t>. Splicing GFD proxies introduces massive measurement error that destroys cointegration tests.</w:t>
      </w:r>
    </w:p>
    <w:p w14:paraId="5B2F2B21" w14:textId="77777777" w:rsidR="00990242" w:rsidRDefault="00990242">
      <w:pPr>
        <w:rPr>
          <w:b/>
          <w:bCs/>
        </w:rPr>
      </w:pPr>
    </w:p>
    <w:p w14:paraId="3B96838E" w14:textId="77777777" w:rsidR="00990242" w:rsidRDefault="00000000">
      <w:r>
        <w:t>Rationale: Quarterly data balances temporal precision (capturing short-term volatility) with data manageability and consistency across long historical horizons.</w:t>
      </w:r>
    </w:p>
    <w:p w14:paraId="1841AE03" w14:textId="77777777" w:rsidR="00990242" w:rsidRDefault="00990242"/>
    <w:p w14:paraId="2ABD713F" w14:textId="77777777" w:rsidR="00990242" w:rsidRDefault="00000000">
      <w:r>
        <w:t>2.2. Data Sources</w:t>
      </w:r>
    </w:p>
    <w:p w14:paraId="40AE54A7" w14:textId="77777777" w:rsidR="00990242" w:rsidRDefault="00990242"/>
    <w:p w14:paraId="7AF2718B" w14:textId="77777777" w:rsidR="00990242" w:rsidRDefault="00000000">
      <w:r>
        <w:t>Since a continuous 100-year FTSE 100 series is unavailable, a spliced dataset will be created using reliable proxies:</w:t>
      </w:r>
    </w:p>
    <w:p w14:paraId="41FACA65" w14:textId="77777777" w:rsidR="00990242" w:rsidRDefault="00990242"/>
    <w:p w14:paraId="4D3369EB" w14:textId="77777777" w:rsidR="00990242" w:rsidRDefault="00000000">
      <w:pPr>
        <w:numPr>
          <w:ilvl w:val="0"/>
          <w:numId w:val="5"/>
        </w:numPr>
      </w:pPr>
      <w:r>
        <w:t>1925–1984: Global Financial Data (GFD) – UK Market Equity Index (proxy for FTSE 100 historical trend)</w:t>
      </w:r>
    </w:p>
    <w:p w14:paraId="4873456C" w14:textId="77777777" w:rsidR="00990242" w:rsidRDefault="00000000">
      <w:pPr>
        <w:numPr>
          <w:ilvl w:val="0"/>
          <w:numId w:val="5"/>
        </w:numPr>
      </w:pPr>
      <w:r>
        <w:t>1984–2025: FTSE 100 official index (available via Yahoo Finance, Investing.com, or Bloomberg)</w:t>
      </w:r>
    </w:p>
    <w:p w14:paraId="093B0D0A" w14:textId="77777777" w:rsidR="00990242" w:rsidRDefault="00000000">
      <w:pPr>
        <w:numPr>
          <w:ilvl w:val="0"/>
          <w:numId w:val="5"/>
        </w:numPr>
      </w:pPr>
      <w:r>
        <w:t>Oil Prices: West Texas Intermediate (WTI) or Brent crude monthly average (FRED / BP Statistical Review)</w:t>
      </w:r>
    </w:p>
    <w:p w14:paraId="396FF314" w14:textId="77777777" w:rsidR="00990242" w:rsidRDefault="00000000">
      <w:pPr>
        <w:numPr>
          <w:ilvl w:val="0"/>
          <w:numId w:val="5"/>
        </w:numPr>
      </w:pPr>
      <w:r>
        <w:t>Gold Prices: World Gold Council / Macrotrends historical monthly data</w:t>
      </w:r>
    </w:p>
    <w:p w14:paraId="16CD13D2" w14:textId="77777777" w:rsidR="00990242" w:rsidRDefault="00000000">
      <w:pPr>
        <w:numPr>
          <w:ilvl w:val="0"/>
          <w:numId w:val="5"/>
        </w:numPr>
      </w:pPr>
      <w:r>
        <w:t>Global GDP: IMF World Economic Outlook or Maddison Historical GDP Dataset (monthly interpolation)</w:t>
      </w:r>
    </w:p>
    <w:p w14:paraId="547E12B0" w14:textId="77777777" w:rsidR="00990242" w:rsidRDefault="00990242"/>
    <w:p w14:paraId="039FDB02" w14:textId="77777777" w:rsidR="00990242" w:rsidRDefault="00000000">
      <w:r>
        <w:t>Possible Control Variables: (Mix of macro and behavioral factors)</w:t>
      </w:r>
    </w:p>
    <w:p w14:paraId="26A192E0" w14:textId="77777777" w:rsidR="00990242" w:rsidRDefault="00990242"/>
    <w:p w14:paraId="1F8C693A" w14:textId="77777777" w:rsidR="00990242" w:rsidRDefault="00000000">
      <w:r>
        <w:rPr>
          <w:b/>
          <w:bCs/>
        </w:rPr>
        <w:t>Monetary Factors:</w:t>
      </w:r>
      <w:r>
        <w:t xml:space="preserve"> Global interest rate, UK Bank Rate, or global money supply (M2).</w:t>
      </w:r>
    </w:p>
    <w:p w14:paraId="68ADA558" w14:textId="77777777" w:rsidR="00990242" w:rsidRDefault="00000000">
      <w:r>
        <w:rPr>
          <w:b/>
          <w:bCs/>
        </w:rPr>
        <w:t>Inflation &amp; Exchange Rate:</w:t>
      </w:r>
      <w:r>
        <w:t xml:space="preserve"> UK CPI or USD/GBP exchange rate (reflects global risk sentiment).</w:t>
      </w:r>
    </w:p>
    <w:p w14:paraId="68AD018D" w14:textId="77777777" w:rsidR="00990242" w:rsidRDefault="00000000">
      <w:r>
        <w:rPr>
          <w:b/>
          <w:bCs/>
        </w:rPr>
        <w:t>Geopolitical Risk Index:</w:t>
      </w:r>
      <w:r>
        <w:t xml:space="preserve"> Captures war, political instability, and uncertainty (affects gold and stock correlations).</w:t>
      </w:r>
    </w:p>
    <w:p w14:paraId="50215D3B" w14:textId="77777777" w:rsidR="00990242" w:rsidRDefault="00000000">
      <w:r>
        <w:rPr>
          <w:b/>
          <w:bCs/>
        </w:rPr>
        <w:t>Global Trade Volume or Industrial Production:</w:t>
      </w:r>
      <w:r>
        <w:t xml:space="preserve"> Represents global growth dynamics.</w:t>
      </w:r>
    </w:p>
    <w:p w14:paraId="2B028690" w14:textId="77777777" w:rsidR="00990242" w:rsidRDefault="00000000">
      <w:r>
        <w:rPr>
          <w:b/>
          <w:bCs/>
        </w:rPr>
        <w:t>Pandemic/Dummy Variables:</w:t>
      </w:r>
      <w:r>
        <w:t xml:space="preserve"> Structural breaks for world wars, Great Depression, oil shocks, and COVID-19.</w:t>
      </w:r>
    </w:p>
    <w:p w14:paraId="1AF10BE5" w14:textId="77777777" w:rsidR="00990242" w:rsidRDefault="00000000">
      <w:r>
        <w:rPr>
          <w:b/>
          <w:bCs/>
        </w:rPr>
        <w:t>Financial Market Variable:</w:t>
      </w:r>
      <w:r>
        <w:t xml:space="preserve"> VIX (volatility index), credit spread, or bond yield (global risk appetite proxies).</w:t>
      </w:r>
    </w:p>
    <w:p w14:paraId="2C6211E8" w14:textId="77777777" w:rsidR="00990242" w:rsidRDefault="00990242"/>
    <w:p w14:paraId="4955B039" w14:textId="77777777" w:rsidR="00990242" w:rsidRDefault="00990242"/>
    <w:p w14:paraId="7756445C" w14:textId="77777777" w:rsidR="00990242" w:rsidRDefault="00000000">
      <w:pPr>
        <w:pStyle w:val="Heading3"/>
      </w:pPr>
      <w:bookmarkStart w:id="3" w:name="_pup0vholv2ij" w:colFirst="0" w:colLast="0"/>
      <w:bookmarkEnd w:id="3"/>
      <w:r>
        <w:t>3. Model Specification and Methodological Rationale</w:t>
      </w:r>
    </w:p>
    <w:p w14:paraId="43896C77" w14:textId="77777777" w:rsidR="00990242" w:rsidRDefault="00000000">
      <w:r>
        <w:t>3.1. Econometric Model: VAR (Vector Autoregression)</w:t>
      </w:r>
    </w:p>
    <w:p w14:paraId="0A12F291" w14:textId="77777777" w:rsidR="00990242" w:rsidRDefault="00990242"/>
    <w:p w14:paraId="13F05648" w14:textId="77777777" w:rsidR="00990242" w:rsidRDefault="00000000">
      <w:r>
        <w:t>The VAR model captures bidirectional relationships among variables, allowing for dynamic interdependence without imposing exogeneity.</w:t>
      </w:r>
    </w:p>
    <w:p w14:paraId="062AC514" w14:textId="77777777" w:rsidR="00990242" w:rsidRDefault="00990242"/>
    <w:p w14:paraId="31D7373B" w14:textId="77777777" w:rsidR="00990242" w:rsidRDefault="00000000">
      <w:r>
        <w:t>Unlike OLS, which assumes unidirectional causality, VAR accounts for feedback loops — essential given that oil, gold, and GDP can simultaneously affect and be affected by stock markets.</w:t>
      </w:r>
    </w:p>
    <w:p w14:paraId="286E974B" w14:textId="77777777" w:rsidR="00990242" w:rsidRDefault="00990242"/>
    <w:p w14:paraId="35AEEF50" w14:textId="77777777" w:rsidR="00990242" w:rsidRDefault="00000000">
      <w:r>
        <w:t>The VAR framework also supports Impulse Response Functions (IRFs) and Variance Decomposition Analysis, revealing how shocks to one variable (e.g., oil price spikes) propagate through the system.</w:t>
      </w:r>
    </w:p>
    <w:p w14:paraId="131FAC74" w14:textId="77777777" w:rsidR="00990242" w:rsidRDefault="00990242"/>
    <w:p w14:paraId="41279031" w14:textId="77777777" w:rsidR="00990242" w:rsidRDefault="00000000">
      <w:r>
        <w:t>3.2. Function Identification</w:t>
      </w:r>
    </w:p>
    <w:p w14:paraId="25D38E88" w14:textId="77777777" w:rsidR="00990242" w:rsidRDefault="00990242"/>
    <w:p w14:paraId="400FAC02" w14:textId="77777777" w:rsidR="00990242" w:rsidRDefault="00000000">
      <w:r>
        <w:t>To ensure robustness, three specifications will be tested:</w:t>
      </w:r>
    </w:p>
    <w:p w14:paraId="34468FD6" w14:textId="77777777" w:rsidR="00990242" w:rsidRDefault="00990242"/>
    <w:p w14:paraId="1208C6AF" w14:textId="77777777" w:rsidR="00990242" w:rsidRDefault="00000000">
      <w:pPr>
        <w:numPr>
          <w:ilvl w:val="0"/>
          <w:numId w:val="4"/>
        </w:numPr>
      </w:pPr>
      <w:r>
        <w:t>Linear Model (Baseline OLS): Establishes direct proportionality assumptions.</w:t>
      </w:r>
    </w:p>
    <w:p w14:paraId="75BAD50E" w14:textId="77777777" w:rsidR="00990242" w:rsidRDefault="00000000">
      <w:pPr>
        <w:numPr>
          <w:ilvl w:val="0"/>
          <w:numId w:val="4"/>
        </w:numPr>
      </w:pPr>
      <w:r>
        <w:t>Log-Linear Model (Preferred): Captures elasticity effects and scale invariance.</w:t>
      </w:r>
    </w:p>
    <w:p w14:paraId="1B8C5DBE" w14:textId="77777777" w:rsidR="00990242" w:rsidRDefault="00000000">
      <w:pPr>
        <w:numPr>
          <w:ilvl w:val="0"/>
          <w:numId w:val="4"/>
        </w:numPr>
      </w:pPr>
      <w:r>
        <w:t>Polynomial Model (Exploratory): Tests for curvature and nonlinear elasticity, identifying saturation or diminishing effects of commodities over time.</w:t>
      </w:r>
    </w:p>
    <w:p w14:paraId="72F50BFA" w14:textId="77777777" w:rsidR="00990242" w:rsidRDefault="00990242"/>
    <w:p w14:paraId="3DD95A60" w14:textId="77777777" w:rsidR="00990242" w:rsidRDefault="00000000">
      <w:pPr>
        <w:rPr>
          <w:shd w:val="clear" w:color="auto" w:fill="D9EAD3"/>
        </w:rPr>
      </w:pPr>
      <w:r>
        <w:rPr>
          <w:shd w:val="clear" w:color="auto" w:fill="D9EAD3"/>
        </w:rPr>
        <w:t>VECM instead of VAR if cointegration exists.</w:t>
      </w:r>
    </w:p>
    <w:p w14:paraId="566CE5B9" w14:textId="77777777" w:rsidR="00990242"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shd w:val="clear" w:color="auto" w:fill="D9EAD3"/>
        </w:rPr>
      </w:pPr>
      <w:r>
        <w:rPr>
          <w:shd w:val="clear" w:color="auto" w:fill="D9EAD3"/>
        </w:rPr>
        <w:t>Step 1: Test for Cointegration (Johansen Test)</w:t>
      </w:r>
    </w:p>
    <w:p w14:paraId="2AB5C3AC" w14:textId="77777777" w:rsidR="00990242" w:rsidRDefault="00000000">
      <w:pPr>
        <w:spacing w:before="120" w:after="120"/>
        <w:rPr>
          <w:rFonts w:ascii="Courier New" w:eastAsia="Courier New" w:hAnsi="Courier New" w:cs="Courier New"/>
          <w:shd w:val="clear" w:color="auto" w:fill="D9EAD3"/>
        </w:rPr>
      </w:pPr>
      <w:r>
        <w:rPr>
          <w:rFonts w:ascii="Nova Mono" w:eastAsia="Nova Mono" w:hAnsi="Nova Mono" w:cs="Nova Mono"/>
          <w:sz w:val="24"/>
          <w:szCs w:val="24"/>
          <w:shd w:val="clear" w:color="auto" w:fill="D9EAD3"/>
        </w:rPr>
        <w:t>Step 2: If r ≥ 1 cointegrating vectors exist → VECM</w:t>
      </w:r>
    </w:p>
    <w:p w14:paraId="1A2072AE" w14:textId="77777777" w:rsidR="00990242" w:rsidRDefault="00990242"/>
    <w:p w14:paraId="69DC44D7" w14:textId="77777777" w:rsidR="00990242" w:rsidRDefault="00000000">
      <w:pPr>
        <w:pStyle w:val="Heading3"/>
      </w:pPr>
      <w:bookmarkStart w:id="4" w:name="_x2wqa6jew5e9" w:colFirst="0" w:colLast="0"/>
      <w:bookmarkEnd w:id="4"/>
      <w:r>
        <w:t>4. Control Variables Justification</w:t>
      </w:r>
    </w:p>
    <w:p w14:paraId="4249DED2" w14:textId="77777777" w:rsidR="00990242" w:rsidRDefault="00990242"/>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1560"/>
        <w:gridCol w:w="5670"/>
      </w:tblGrid>
      <w:tr w:rsidR="00990242" w14:paraId="6D0A95C6" w14:textId="77777777">
        <w:trPr>
          <w:trHeight w:val="50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5FBA7" w14:textId="77777777" w:rsidR="00990242" w:rsidRDefault="00000000">
            <w:pPr>
              <w:jc w:val="center"/>
            </w:pPr>
            <w:r>
              <w:rPr>
                <w:b/>
                <w:bCs/>
              </w:rPr>
              <w:t>Type</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3F595" w14:textId="77777777" w:rsidR="00990242" w:rsidRDefault="00000000">
            <w:pPr>
              <w:jc w:val="center"/>
            </w:pPr>
            <w:r>
              <w:rPr>
                <w:b/>
                <w:bCs/>
              </w:rPr>
              <w:t>Variable</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12CA6" w14:textId="77777777" w:rsidR="00990242" w:rsidRDefault="00000000">
            <w:pPr>
              <w:jc w:val="center"/>
            </w:pPr>
            <w:r>
              <w:rPr>
                <w:b/>
                <w:bCs/>
              </w:rPr>
              <w:t>Justification</w:t>
            </w:r>
          </w:p>
        </w:tc>
      </w:tr>
      <w:tr w:rsidR="00990242" w14:paraId="719D4A47" w14:textId="77777777">
        <w:trPr>
          <w:trHeight w:val="104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0B2FB" w14:textId="77777777" w:rsidR="00990242" w:rsidRDefault="00000000">
            <w:r>
              <w:rPr>
                <w:b/>
                <w:bCs/>
              </w:rPr>
              <w:t>Macroeconomic</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F304E" w14:textId="77777777" w:rsidR="00990242" w:rsidRDefault="00000000">
            <w:r>
              <w:t>Global Inflation Rate</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D1A79" w14:textId="77777777" w:rsidR="00990242" w:rsidRDefault="00000000">
            <w:r>
              <w:t>Inflation affects both commodity prices and stock returns; high inflation erodes purchasing power and affects valuation multiples.</w:t>
            </w:r>
          </w:p>
        </w:tc>
      </w:tr>
      <w:tr w:rsidR="00990242" w14:paraId="32B9417E" w14:textId="77777777">
        <w:trPr>
          <w:trHeight w:val="77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77A15" w14:textId="77777777" w:rsidR="00990242" w:rsidRDefault="00000000">
            <w:r>
              <w:rPr>
                <w:b/>
                <w:bCs/>
              </w:rPr>
              <w:lastRenderedPageBreak/>
              <w:t>Macroeconomic</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34DDE" w14:textId="77777777" w:rsidR="00990242" w:rsidRDefault="00000000">
            <w:r>
              <w:t>US 10-Year Treasury Yield</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F4078" w14:textId="77777777" w:rsidR="00990242" w:rsidRDefault="00000000">
            <w:r>
              <w:t>Proxy for global interest rates and discount rates; inversely correlated with stock prices.</w:t>
            </w:r>
          </w:p>
        </w:tc>
      </w:tr>
      <w:tr w:rsidR="00990242" w14:paraId="0B29747F" w14:textId="77777777">
        <w:trPr>
          <w:trHeight w:val="77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24908" w14:textId="77777777" w:rsidR="00990242" w:rsidRDefault="00000000">
            <w:r>
              <w:rPr>
                <w:b/>
                <w:bCs/>
              </w:rPr>
              <w:t>Behavioral</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86B9B" w14:textId="77777777" w:rsidR="00990242" w:rsidRDefault="00000000">
            <w:r>
              <w:t>VIX Index</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4FFE3" w14:textId="77777777" w:rsidR="00990242" w:rsidRDefault="00000000">
            <w:r>
              <w:t>Captures global market risk sentiment and investor fear, influencing capital flows to equities.</w:t>
            </w:r>
          </w:p>
        </w:tc>
      </w:tr>
      <w:tr w:rsidR="00990242" w14:paraId="238D6548" w14:textId="77777777">
        <w:trPr>
          <w:trHeight w:val="1040"/>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6D51F" w14:textId="77777777" w:rsidR="00990242" w:rsidRDefault="00000000">
            <w:r>
              <w:rPr>
                <w:b/>
                <w:bCs/>
              </w:rPr>
              <w:t>Behavioral</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AEDD1" w14:textId="77777777" w:rsidR="00990242" w:rsidRDefault="00000000">
            <w:r>
              <w:t>GBP/USD Exchange Rate</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21F74" w14:textId="77777777" w:rsidR="00990242" w:rsidRDefault="00000000">
            <w:r>
              <w:t>Reflects relative attractiveness of UK assets and currency-induced valuation effects on multinationals listed in the FTSE 100.</w:t>
            </w:r>
          </w:p>
        </w:tc>
      </w:tr>
    </w:tbl>
    <w:p w14:paraId="02734138" w14:textId="77777777" w:rsidR="00990242" w:rsidRDefault="00990242"/>
    <w:p w14:paraId="1A99C575" w14:textId="77777777" w:rsidR="00990242" w:rsidRDefault="00990242"/>
    <w:p w14:paraId="1838D141" w14:textId="77777777" w:rsidR="00990242" w:rsidRDefault="00990242"/>
    <w:p w14:paraId="56C07A7C" w14:textId="77777777" w:rsidR="00990242" w:rsidRDefault="00000000">
      <w:pPr>
        <w:pStyle w:val="Heading3"/>
      </w:pPr>
      <w:bookmarkStart w:id="5" w:name="_3za32v835svv" w:colFirst="0" w:colLast="0"/>
      <w:bookmarkEnd w:id="5"/>
      <w:r>
        <w:t>5. Data Analysis Procedure</w:t>
      </w:r>
    </w:p>
    <w:p w14:paraId="3127D904" w14:textId="77777777" w:rsidR="00990242" w:rsidRDefault="00000000">
      <w:r>
        <w:t>5.1. Preliminary Steps</w:t>
      </w:r>
    </w:p>
    <w:p w14:paraId="60BD2C7E" w14:textId="77777777" w:rsidR="00990242" w:rsidRDefault="00990242"/>
    <w:p w14:paraId="5460C6E6" w14:textId="77777777" w:rsidR="00990242" w:rsidRDefault="00000000">
      <w:pPr>
        <w:numPr>
          <w:ilvl w:val="0"/>
          <w:numId w:val="8"/>
        </w:numPr>
      </w:pPr>
      <w:r>
        <w:t>Collect and clean all data (monthly frequency).</w:t>
      </w:r>
    </w:p>
    <w:p w14:paraId="1FBB3954" w14:textId="77777777" w:rsidR="00990242" w:rsidRDefault="00000000">
      <w:pPr>
        <w:numPr>
          <w:ilvl w:val="0"/>
          <w:numId w:val="8"/>
        </w:numPr>
      </w:pPr>
      <w:r>
        <w:t>Convert nominal variables to real terms where necessary.</w:t>
      </w:r>
    </w:p>
    <w:p w14:paraId="6C9301D6" w14:textId="77777777" w:rsidR="00990242" w:rsidRDefault="00000000">
      <w:pPr>
        <w:numPr>
          <w:ilvl w:val="0"/>
          <w:numId w:val="8"/>
        </w:numPr>
      </w:pPr>
      <w:r>
        <w:t>Apply natural logarithm transformation for all positive variables.</w:t>
      </w:r>
    </w:p>
    <w:p w14:paraId="5EBA6308" w14:textId="77777777" w:rsidR="00990242" w:rsidRDefault="00000000">
      <w:pPr>
        <w:numPr>
          <w:ilvl w:val="0"/>
          <w:numId w:val="8"/>
        </w:numPr>
      </w:pPr>
      <w:r>
        <w:t>Conduct unit root tests (ADF, KPSS) to ensure stationarity.</w:t>
      </w:r>
    </w:p>
    <w:p w14:paraId="2F760026" w14:textId="77777777" w:rsidR="00990242" w:rsidRDefault="00000000">
      <w:pPr>
        <w:numPr>
          <w:ilvl w:val="0"/>
          <w:numId w:val="8"/>
        </w:numPr>
      </w:pPr>
      <w:r>
        <w:t>If non-stationary, difference variables or apply cointegration framework if long-run relations exist.</w:t>
      </w:r>
    </w:p>
    <w:p w14:paraId="5CF08E44" w14:textId="77777777" w:rsidR="00990242" w:rsidRDefault="00990242"/>
    <w:p w14:paraId="138EA617" w14:textId="77777777" w:rsidR="00990242" w:rsidRDefault="00990242"/>
    <w:p w14:paraId="62867C99" w14:textId="77777777" w:rsidR="00990242" w:rsidRDefault="00990242"/>
    <w:p w14:paraId="5C66D4EB" w14:textId="77777777" w:rsidR="00990242" w:rsidRDefault="00990242"/>
    <w:p w14:paraId="70032551" w14:textId="77777777" w:rsidR="00990242" w:rsidRDefault="00990242"/>
    <w:p w14:paraId="43BB8E7C" w14:textId="77777777" w:rsidR="00990242" w:rsidRDefault="00000000">
      <w:r>
        <w:t>5.2. Estimation Process</w:t>
      </w:r>
    </w:p>
    <w:p w14:paraId="0D5600D8" w14:textId="77777777" w:rsidR="00990242" w:rsidRDefault="00990242"/>
    <w:p w14:paraId="376B111F" w14:textId="77777777" w:rsidR="00990242" w:rsidRDefault="00000000">
      <w:pPr>
        <w:numPr>
          <w:ilvl w:val="0"/>
          <w:numId w:val="9"/>
        </w:numPr>
      </w:pPr>
      <w:r>
        <w:t>Estimate baseline log-linear multiple regression model.</w:t>
      </w:r>
    </w:p>
    <w:p w14:paraId="217CA403" w14:textId="77777777" w:rsidR="00990242" w:rsidRDefault="00000000">
      <w:pPr>
        <w:numPr>
          <w:ilvl w:val="0"/>
          <w:numId w:val="9"/>
        </w:numPr>
      </w:pPr>
      <w:r>
        <w:t>Run VAR model using optimal lag selection via AIC/BIC criteria.</w:t>
      </w:r>
    </w:p>
    <w:p w14:paraId="45ACC116" w14:textId="77777777" w:rsidR="00990242" w:rsidRDefault="00000000">
      <w:pPr>
        <w:numPr>
          <w:ilvl w:val="0"/>
          <w:numId w:val="9"/>
        </w:numPr>
      </w:pPr>
      <w:r>
        <w:t>Conduct Granger causality tests to assess bidirectional dynamics.</w:t>
      </w:r>
    </w:p>
    <w:p w14:paraId="0F783319" w14:textId="77777777" w:rsidR="00990242" w:rsidRDefault="00000000">
      <w:pPr>
        <w:numPr>
          <w:ilvl w:val="0"/>
          <w:numId w:val="9"/>
        </w:numPr>
      </w:pPr>
      <w:r>
        <w:t>Generate Impulse Response Functions (IRFs) to show temporal shock transmission.</w:t>
      </w:r>
    </w:p>
    <w:p w14:paraId="114D1236" w14:textId="77777777" w:rsidR="00990242" w:rsidRDefault="00000000">
      <w:pPr>
        <w:numPr>
          <w:ilvl w:val="0"/>
          <w:numId w:val="9"/>
        </w:numPr>
      </w:pPr>
      <w:r>
        <w:t>Perform Variance Decomposition Analysis (VDA) to quantify contribution of each variable to FTSE fluctuations.</w:t>
      </w:r>
    </w:p>
    <w:p w14:paraId="54C06A12" w14:textId="77777777" w:rsidR="00990242" w:rsidRDefault="00990242"/>
    <w:p w14:paraId="74B2272D" w14:textId="77777777" w:rsidR="00990242" w:rsidRDefault="00000000">
      <w:pPr>
        <w:pStyle w:val="Heading3"/>
      </w:pPr>
      <w:bookmarkStart w:id="6" w:name="_q3qcrqpibtmj" w:colFirst="0" w:colLast="0"/>
      <w:bookmarkEnd w:id="6"/>
      <w:r>
        <w:t>6. Diagnostic and Robustness Testing</w:t>
      </w:r>
    </w:p>
    <w:p w14:paraId="7195E61A" w14:textId="77777777" w:rsidR="00990242" w:rsidRDefault="00990242"/>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3"/>
        <w:gridCol w:w="2906"/>
        <w:gridCol w:w="4521"/>
      </w:tblGrid>
      <w:tr w:rsidR="00990242" w14:paraId="1D7BBCEF" w14:textId="77777777">
        <w:trPr>
          <w:trHeight w:val="500"/>
        </w:trPr>
        <w:tc>
          <w:tcPr>
            <w:tcW w:w="19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95DEC" w14:textId="77777777" w:rsidR="00990242" w:rsidRDefault="00000000">
            <w:pPr>
              <w:jc w:val="center"/>
            </w:pPr>
            <w:r>
              <w:rPr>
                <w:b/>
                <w:bCs/>
              </w:rPr>
              <w:lastRenderedPageBreak/>
              <w:t>Test</w:t>
            </w:r>
          </w:p>
        </w:tc>
        <w:tc>
          <w:tcPr>
            <w:tcW w:w="2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4DE8E" w14:textId="77777777" w:rsidR="00990242" w:rsidRDefault="00000000">
            <w:pPr>
              <w:jc w:val="center"/>
            </w:pPr>
            <w:r>
              <w:rPr>
                <w:b/>
                <w:bCs/>
              </w:rPr>
              <w:t>Purpose</w:t>
            </w:r>
          </w:p>
        </w:tc>
        <w:tc>
          <w:tcPr>
            <w:tcW w:w="4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AD3CA" w14:textId="77777777" w:rsidR="00990242" w:rsidRDefault="00000000">
            <w:pPr>
              <w:jc w:val="center"/>
            </w:pPr>
            <w:r>
              <w:rPr>
                <w:b/>
                <w:bCs/>
              </w:rPr>
              <w:t>Interpretation</w:t>
            </w:r>
          </w:p>
        </w:tc>
      </w:tr>
      <w:tr w:rsidR="00990242" w14:paraId="04D9C07B" w14:textId="77777777">
        <w:trPr>
          <w:trHeight w:val="1040"/>
        </w:trPr>
        <w:tc>
          <w:tcPr>
            <w:tcW w:w="19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0BDA6B" w14:textId="77777777" w:rsidR="00990242" w:rsidRDefault="00000000">
            <w:r>
              <w:rPr>
                <w:b/>
                <w:bCs/>
              </w:rPr>
              <w:t>Breusch–Pagan Test</w:t>
            </w:r>
          </w:p>
        </w:tc>
        <w:tc>
          <w:tcPr>
            <w:tcW w:w="2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6FA2F" w14:textId="77777777" w:rsidR="00990242" w:rsidRDefault="00000000">
            <w:r>
              <w:t>Detects heteroskedasticity (unequal error variance).</w:t>
            </w:r>
          </w:p>
        </w:tc>
        <w:tc>
          <w:tcPr>
            <w:tcW w:w="4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8C993" w14:textId="77777777" w:rsidR="00990242" w:rsidRDefault="00000000">
            <w:r>
              <w:t>A significant result suggests model residuals vary over time — indicative of structural volatility in financial series.</w:t>
            </w:r>
          </w:p>
        </w:tc>
      </w:tr>
      <w:tr w:rsidR="00990242" w14:paraId="6BF43757" w14:textId="77777777">
        <w:trPr>
          <w:trHeight w:val="1040"/>
        </w:trPr>
        <w:tc>
          <w:tcPr>
            <w:tcW w:w="19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9EB60" w14:textId="77777777" w:rsidR="00990242" w:rsidRDefault="00000000">
            <w:r>
              <w:rPr>
                <w:b/>
                <w:bCs/>
              </w:rPr>
              <w:t>Variance Inflation Factor (VIF)</w:t>
            </w:r>
          </w:p>
        </w:tc>
        <w:tc>
          <w:tcPr>
            <w:tcW w:w="2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7A0A8" w14:textId="77777777" w:rsidR="00990242" w:rsidRDefault="00000000">
            <w:r>
              <w:t>Measures multicollinearity among regressors.</w:t>
            </w:r>
          </w:p>
        </w:tc>
        <w:tc>
          <w:tcPr>
            <w:tcW w:w="4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B449E" w14:textId="77777777" w:rsidR="00990242" w:rsidRDefault="00000000">
            <w:r>
              <w:t>VIF &gt; 10 suggests redundancy; model interpretation should focus on joint effects rather than isolated coefficients.</w:t>
            </w:r>
          </w:p>
        </w:tc>
      </w:tr>
      <w:tr w:rsidR="00990242" w14:paraId="488F4B18" w14:textId="77777777">
        <w:trPr>
          <w:trHeight w:val="770"/>
        </w:trPr>
        <w:tc>
          <w:tcPr>
            <w:tcW w:w="19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BEB8F" w14:textId="77777777" w:rsidR="00990242" w:rsidRDefault="00000000">
            <w:r>
              <w:rPr>
                <w:b/>
                <w:bCs/>
              </w:rPr>
              <w:t>Jarque–Bera Test (Optional)</w:t>
            </w:r>
          </w:p>
        </w:tc>
        <w:tc>
          <w:tcPr>
            <w:tcW w:w="2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8969A" w14:textId="77777777" w:rsidR="00990242" w:rsidRDefault="00000000">
            <w:r>
              <w:t>Tests residual normality.</w:t>
            </w:r>
          </w:p>
        </w:tc>
        <w:tc>
          <w:tcPr>
            <w:tcW w:w="4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680FD" w14:textId="77777777" w:rsidR="00990242" w:rsidRDefault="00000000">
            <w:r>
              <w:t>Non-normality acceptable in financial data, but helps assess model stability.</w:t>
            </w:r>
          </w:p>
        </w:tc>
      </w:tr>
    </w:tbl>
    <w:p w14:paraId="3C40A1C0" w14:textId="77777777" w:rsidR="00990242" w:rsidRDefault="00990242"/>
    <w:p w14:paraId="168A07E9" w14:textId="77777777" w:rsidR="00990242" w:rsidRDefault="00990242"/>
    <w:p w14:paraId="485E4239" w14:textId="77777777" w:rsidR="00990242" w:rsidRDefault="00990242"/>
    <w:p w14:paraId="631F509C" w14:textId="77777777" w:rsidR="00990242" w:rsidRDefault="00000000">
      <w:pPr>
        <w:pStyle w:val="Heading3"/>
        <w:rPr>
          <w:color w:val="000000"/>
        </w:rPr>
      </w:pPr>
      <w:bookmarkStart w:id="7" w:name="_nuguaukk77hd" w:colFirst="0" w:colLast="0"/>
      <w:bookmarkEnd w:id="7"/>
      <w:r>
        <w:rPr>
          <w:color w:val="000000"/>
        </w:rPr>
        <w:t>7. Visualization Framework</w:t>
      </w:r>
    </w:p>
    <w:p w14:paraId="43644A96" w14:textId="77777777" w:rsidR="00990242" w:rsidRDefault="00000000">
      <w:r>
        <w:t>7.1. Trend Analysis</w:t>
      </w:r>
    </w:p>
    <w:p w14:paraId="798E3521" w14:textId="77777777" w:rsidR="00990242" w:rsidRDefault="00990242"/>
    <w:p w14:paraId="5F992E9E" w14:textId="77777777" w:rsidR="00990242" w:rsidRDefault="00000000">
      <w:r>
        <w:t>Line plots for FTSE 100, oil, gold, and global GDP over time (log scale).</w:t>
      </w:r>
    </w:p>
    <w:p w14:paraId="129E5884" w14:textId="77777777" w:rsidR="00990242" w:rsidRDefault="00990242"/>
    <w:p w14:paraId="5FB66FC1" w14:textId="77777777" w:rsidR="00990242" w:rsidRDefault="00000000">
      <w:r>
        <w:t>Highlight economic regimes:</w:t>
      </w:r>
    </w:p>
    <w:p w14:paraId="74EA3AF8" w14:textId="77777777" w:rsidR="00990242" w:rsidRDefault="00990242"/>
    <w:p w14:paraId="58E51F99" w14:textId="77777777" w:rsidR="00990242" w:rsidRDefault="00000000">
      <w:pPr>
        <w:numPr>
          <w:ilvl w:val="0"/>
          <w:numId w:val="2"/>
        </w:numPr>
      </w:pPr>
      <w:r>
        <w:t>Interwar period (1920s–40s)</w:t>
      </w:r>
    </w:p>
    <w:p w14:paraId="68FA12D0" w14:textId="77777777" w:rsidR="00990242" w:rsidRDefault="00000000">
      <w:pPr>
        <w:numPr>
          <w:ilvl w:val="0"/>
          <w:numId w:val="2"/>
        </w:numPr>
      </w:pPr>
      <w:r>
        <w:t>Postwar recovery (1950s–70s)</w:t>
      </w:r>
    </w:p>
    <w:p w14:paraId="5CB0946C" w14:textId="77777777" w:rsidR="00990242" w:rsidRDefault="00000000">
      <w:pPr>
        <w:numPr>
          <w:ilvl w:val="0"/>
          <w:numId w:val="2"/>
        </w:numPr>
      </w:pPr>
      <w:r>
        <w:t>Oil shocks (1973, 1979)</w:t>
      </w:r>
    </w:p>
    <w:p w14:paraId="7D3ACB6C" w14:textId="77777777" w:rsidR="00990242" w:rsidRDefault="00000000">
      <w:pPr>
        <w:numPr>
          <w:ilvl w:val="0"/>
          <w:numId w:val="2"/>
        </w:numPr>
      </w:pPr>
      <w:r>
        <w:t>Deregulation and neoliberal era (1980s–2000s)</w:t>
      </w:r>
    </w:p>
    <w:p w14:paraId="539AE66B" w14:textId="77777777" w:rsidR="00990242" w:rsidRDefault="00000000">
      <w:pPr>
        <w:numPr>
          <w:ilvl w:val="0"/>
          <w:numId w:val="2"/>
        </w:numPr>
      </w:pPr>
      <w:r>
        <w:t>Global financial crisis (2008)</w:t>
      </w:r>
    </w:p>
    <w:p w14:paraId="78867E32" w14:textId="77777777" w:rsidR="00990242" w:rsidRDefault="00000000">
      <w:pPr>
        <w:numPr>
          <w:ilvl w:val="0"/>
          <w:numId w:val="2"/>
        </w:numPr>
      </w:pPr>
      <w:r>
        <w:t>COVID-19 and post-pandemic recovery (2020–2025)</w:t>
      </w:r>
    </w:p>
    <w:p w14:paraId="5AA43082" w14:textId="77777777" w:rsidR="00990242" w:rsidRDefault="00990242"/>
    <w:p w14:paraId="67E5DE3D" w14:textId="77777777" w:rsidR="00990242" w:rsidRDefault="00000000">
      <w:r>
        <w:t>7.2. Scatter Plots</w:t>
      </w:r>
    </w:p>
    <w:p w14:paraId="788BC364" w14:textId="77777777" w:rsidR="00990242" w:rsidRDefault="00990242"/>
    <w:p w14:paraId="24D3CF7C" w14:textId="77777777" w:rsidR="00990242" w:rsidRDefault="00000000">
      <w:proofErr w:type="gramStart"/>
      <w:r>
        <w:t>Log(</w:t>
      </w:r>
      <w:proofErr w:type="gramEnd"/>
      <w:r>
        <w:t xml:space="preserve">FTSE) vs. Log(Oil), Log(Gold), Log(GDP) — for elasticity intuition. </w:t>
      </w:r>
      <w:proofErr w:type="spellStart"/>
      <w:r>
        <w:t>Colour</w:t>
      </w:r>
      <w:proofErr w:type="spellEnd"/>
      <w:r>
        <w:t>-code by economic regime for pattern identification.</w:t>
      </w:r>
    </w:p>
    <w:p w14:paraId="6CCBA122" w14:textId="77777777" w:rsidR="00990242" w:rsidRDefault="00990242"/>
    <w:p w14:paraId="5AF1946E" w14:textId="77777777" w:rsidR="00990242" w:rsidRDefault="00990242"/>
    <w:p w14:paraId="00D81C34" w14:textId="77777777" w:rsidR="00990242" w:rsidRDefault="00000000">
      <w:r>
        <w:t>7.3. Decomposition Visuals</w:t>
      </w:r>
    </w:p>
    <w:p w14:paraId="7DBE9B01" w14:textId="77777777" w:rsidR="00990242" w:rsidRDefault="00990242"/>
    <w:p w14:paraId="144D6456" w14:textId="77777777" w:rsidR="00990242" w:rsidRDefault="00000000">
      <w:pPr>
        <w:numPr>
          <w:ilvl w:val="0"/>
          <w:numId w:val="10"/>
        </w:numPr>
      </w:pPr>
      <w:r>
        <w:t>FTSE Index decomposition into trend, seasonal, and residual components.</w:t>
      </w:r>
    </w:p>
    <w:p w14:paraId="780EF6B4" w14:textId="77777777" w:rsidR="00990242" w:rsidRDefault="00000000">
      <w:pPr>
        <w:numPr>
          <w:ilvl w:val="0"/>
          <w:numId w:val="10"/>
        </w:numPr>
      </w:pPr>
      <w:r>
        <w:t>Impulse Response Plots for VAR results (response of FTSE to shocks in oil, gold, GDP).</w:t>
      </w:r>
    </w:p>
    <w:p w14:paraId="711B51D2" w14:textId="77777777" w:rsidR="00990242" w:rsidRDefault="00000000">
      <w:pPr>
        <w:numPr>
          <w:ilvl w:val="0"/>
          <w:numId w:val="10"/>
        </w:numPr>
      </w:pPr>
      <w:r>
        <w:lastRenderedPageBreak/>
        <w:t>Variance Decomposition Chart showing % contribution of each independent variable to LSE volatility.</w:t>
      </w:r>
    </w:p>
    <w:p w14:paraId="401EDE00" w14:textId="77777777" w:rsidR="00990242" w:rsidRDefault="00990242"/>
    <w:p w14:paraId="7B377173" w14:textId="77777777" w:rsidR="00990242" w:rsidRDefault="00000000">
      <w:r>
        <w:t xml:space="preserve">ALTERNATIVELY: </w:t>
      </w:r>
    </w:p>
    <w:p w14:paraId="1908459C" w14:textId="77777777" w:rsidR="00990242" w:rsidRDefault="00990242"/>
    <w:p w14:paraId="6D633CD3" w14:textId="77777777" w:rsidR="00990242" w:rsidRDefault="00000000">
      <w:pPr>
        <w:numPr>
          <w:ilvl w:val="0"/>
          <w:numId w:val="3"/>
        </w:numPr>
      </w:pPr>
      <w:r>
        <w:t>Time-Series Trend Plot with Crisis Shading</w:t>
      </w:r>
    </w:p>
    <w:p w14:paraId="13214B9D" w14:textId="77777777" w:rsidR="00990242" w:rsidRDefault="00000000">
      <w:pPr>
        <w:numPr>
          <w:ilvl w:val="0"/>
          <w:numId w:val="3"/>
        </w:numPr>
      </w:pPr>
      <w:r>
        <w:t>Correlation Heatmap</w:t>
      </w:r>
    </w:p>
    <w:p w14:paraId="7F5E7B4E" w14:textId="77777777" w:rsidR="00990242" w:rsidRDefault="00000000">
      <w:pPr>
        <w:numPr>
          <w:ilvl w:val="0"/>
          <w:numId w:val="3"/>
        </w:numPr>
      </w:pPr>
      <w:r>
        <w:t xml:space="preserve">Log-Return Plot </w:t>
      </w:r>
      <w:proofErr w:type="gramStart"/>
      <w:r>
        <w:t>( or</w:t>
      </w:r>
      <w:proofErr w:type="gramEnd"/>
      <w:r>
        <w:t xml:space="preserve"> Time Varying Volatility )</w:t>
      </w:r>
    </w:p>
    <w:p w14:paraId="66AD6528" w14:textId="77777777" w:rsidR="00990242" w:rsidRDefault="00000000">
      <w:pPr>
        <w:numPr>
          <w:ilvl w:val="0"/>
          <w:numId w:val="3"/>
        </w:numPr>
      </w:pPr>
      <w:r>
        <w:t>Impulse Responses</w:t>
      </w:r>
    </w:p>
    <w:p w14:paraId="250E9942" w14:textId="77777777" w:rsidR="00990242" w:rsidRDefault="00000000">
      <w:pPr>
        <w:numPr>
          <w:ilvl w:val="0"/>
          <w:numId w:val="3"/>
        </w:numPr>
      </w:pPr>
      <w:r>
        <w:t xml:space="preserve">ECT (robustness check- optional) </w:t>
      </w:r>
    </w:p>
    <w:p w14:paraId="3C1A37C4" w14:textId="77777777" w:rsidR="00990242" w:rsidRDefault="00990242">
      <w:pPr>
        <w:ind w:left="720"/>
      </w:pPr>
    </w:p>
    <w:p w14:paraId="54DA3C49" w14:textId="77777777" w:rsidR="00990242" w:rsidRDefault="00990242"/>
    <w:p w14:paraId="53478D71" w14:textId="77777777" w:rsidR="00990242" w:rsidRDefault="00000000">
      <w:pPr>
        <w:pStyle w:val="Heading3"/>
      </w:pPr>
      <w:bookmarkStart w:id="8" w:name="_yt6lgkg26n9r" w:colFirst="0" w:colLast="0"/>
      <w:bookmarkEnd w:id="8"/>
      <w:r>
        <w:t>8. Interpretation and Economic Storytelling</w:t>
      </w:r>
    </w:p>
    <w:p w14:paraId="7B0A087B" w14:textId="77777777" w:rsidR="00990242" w:rsidRDefault="00990242"/>
    <w:p w14:paraId="4AF44E1E" w14:textId="77777777" w:rsidR="00990242" w:rsidRDefault="00000000">
      <w:r>
        <w:t>The interpretation will focus on causal narratives rather than statistical perfection:</w:t>
      </w:r>
    </w:p>
    <w:p w14:paraId="1965C36C" w14:textId="77777777" w:rsidR="00990242" w:rsidRDefault="00990242"/>
    <w:p w14:paraId="7006B6A3" w14:textId="77777777" w:rsidR="00990242" w:rsidRDefault="00000000">
      <w:pPr>
        <w:numPr>
          <w:ilvl w:val="0"/>
          <w:numId w:val="1"/>
        </w:numPr>
      </w:pPr>
      <w:r>
        <w:t>Oil–Equity Link: Investigate how industrialization, oil shocks, and energy transitions shifted this relationship from negative (cost-push inflation) to mixed (energy sector inclusion in FTSE).</w:t>
      </w:r>
    </w:p>
    <w:p w14:paraId="4C997217" w14:textId="77777777" w:rsidR="00990242" w:rsidRDefault="00000000">
      <w:pPr>
        <w:numPr>
          <w:ilvl w:val="0"/>
          <w:numId w:val="1"/>
        </w:numPr>
      </w:pPr>
      <w:r>
        <w:t>Gold–Equity Dynamics: Explore gold’s role as a crisis hedge — often moving inversely with equities during wars, depressions, and inflationary spikes.</w:t>
      </w:r>
    </w:p>
    <w:p w14:paraId="35BAC555" w14:textId="77777777" w:rsidR="00990242" w:rsidRDefault="00000000">
      <w:pPr>
        <w:numPr>
          <w:ilvl w:val="0"/>
          <w:numId w:val="1"/>
        </w:numPr>
      </w:pPr>
      <w:r>
        <w:t>GDP–Equity Coupling: Assess stock markets as forward-looking indicators of global growth; analyze decoupling during financialization eras.</w:t>
      </w:r>
    </w:p>
    <w:p w14:paraId="593113B6" w14:textId="77777777" w:rsidR="00990242" w:rsidRDefault="00000000">
      <w:pPr>
        <w:numPr>
          <w:ilvl w:val="0"/>
          <w:numId w:val="1"/>
        </w:numPr>
      </w:pPr>
      <w:r>
        <w:t>Regime-Specific Insights: Identify structural changes — e.g., how neoliberal financial reforms (1980s) intensified global co-movements, and how post-2008 monetary policy (QE) altered traditional linkages.</w:t>
      </w:r>
    </w:p>
    <w:p w14:paraId="4ACE120C" w14:textId="77777777" w:rsidR="00990242" w:rsidRDefault="00990242"/>
    <w:p w14:paraId="5E972389" w14:textId="77777777" w:rsidR="00990242" w:rsidRDefault="00000000">
      <w:pPr>
        <w:pStyle w:val="Heading3"/>
      </w:pPr>
      <w:bookmarkStart w:id="9" w:name="_hc7b49h9qkk7" w:colFirst="0" w:colLast="0"/>
      <w:bookmarkEnd w:id="9"/>
      <w:r>
        <w:t>9. Expected Outcomes</w:t>
      </w:r>
    </w:p>
    <w:p w14:paraId="673B1C0E" w14:textId="77777777" w:rsidR="00990242" w:rsidRDefault="00990242"/>
    <w:p w14:paraId="61B02465" w14:textId="77777777" w:rsidR="00990242" w:rsidRDefault="00000000">
      <w:r>
        <w:t>Empirical Insights:</w:t>
      </w:r>
    </w:p>
    <w:p w14:paraId="3D711254" w14:textId="77777777" w:rsidR="00990242" w:rsidRDefault="00990242"/>
    <w:p w14:paraId="35D8FFFA" w14:textId="77777777" w:rsidR="00990242" w:rsidRDefault="00000000">
      <w:pPr>
        <w:numPr>
          <w:ilvl w:val="0"/>
          <w:numId w:val="7"/>
        </w:numPr>
      </w:pPr>
      <w:r>
        <w:t>The FTSE 100’s elasticity with respect to global GDP is expected to be positive and strong.</w:t>
      </w:r>
    </w:p>
    <w:p w14:paraId="60E0DD08" w14:textId="77777777" w:rsidR="00990242" w:rsidRDefault="00000000">
      <w:pPr>
        <w:numPr>
          <w:ilvl w:val="0"/>
          <w:numId w:val="7"/>
        </w:numPr>
      </w:pPr>
      <w:r>
        <w:t>Oil and gold may exhibit nonlinear or regime-dependent effects.</w:t>
      </w:r>
    </w:p>
    <w:p w14:paraId="2D8C5320" w14:textId="77777777" w:rsidR="00990242" w:rsidRDefault="00000000">
      <w:pPr>
        <w:numPr>
          <w:ilvl w:val="0"/>
          <w:numId w:val="7"/>
        </w:numPr>
      </w:pPr>
      <w:r>
        <w:t>Control variables will capture monetary and sentiment-driven volatility.</w:t>
      </w:r>
    </w:p>
    <w:p w14:paraId="7B5DB695" w14:textId="77777777" w:rsidR="00990242" w:rsidRDefault="00990242"/>
    <w:p w14:paraId="553268AA" w14:textId="77777777" w:rsidR="00990242" w:rsidRDefault="00000000">
      <w:r>
        <w:t>Model Explainability:</w:t>
      </w:r>
    </w:p>
    <w:p w14:paraId="09E62963" w14:textId="77777777" w:rsidR="00990242" w:rsidRDefault="00990242"/>
    <w:p w14:paraId="5DCE7675" w14:textId="77777777" w:rsidR="00990242" w:rsidRDefault="00000000">
      <w:pPr>
        <w:numPr>
          <w:ilvl w:val="0"/>
          <w:numId w:val="11"/>
        </w:numPr>
      </w:pPr>
      <w:r>
        <w:t>Adjusted R² expected between 0.6–0.8 for quarterly data.</w:t>
      </w:r>
    </w:p>
    <w:p w14:paraId="54A348E2" w14:textId="77777777" w:rsidR="00990242" w:rsidRDefault="00000000">
      <w:pPr>
        <w:numPr>
          <w:ilvl w:val="0"/>
          <w:numId w:val="11"/>
        </w:numPr>
      </w:pPr>
      <w:r>
        <w:t>VAR analysis should reveal short-run bidirectional causality between oil and FTSE, and long-run cointegration with GDP.</w:t>
      </w:r>
    </w:p>
    <w:p w14:paraId="172FF2E6" w14:textId="77777777" w:rsidR="00990242" w:rsidRDefault="00990242"/>
    <w:p w14:paraId="25863181" w14:textId="77777777" w:rsidR="00990242" w:rsidRDefault="00000000">
      <w:pPr>
        <w:pStyle w:val="Heading3"/>
      </w:pPr>
      <w:bookmarkStart w:id="10" w:name="_9g920wuqne5l" w:colFirst="0" w:colLast="0"/>
      <w:bookmarkEnd w:id="10"/>
      <w:r>
        <w:t>10. Deliverables and Structure</w:t>
      </w:r>
    </w:p>
    <w:p w14:paraId="2825F470" w14:textId="77777777" w:rsidR="00990242" w:rsidRDefault="00990242"/>
    <w:p w14:paraId="531F269B" w14:textId="77777777" w:rsidR="00990242" w:rsidRDefault="00000000">
      <w:r>
        <w:t>I</w:t>
      </w:r>
      <w:r>
        <w:tab/>
        <w:t>Literature-backed model justification and theoretical framework</w:t>
      </w:r>
    </w:p>
    <w:p w14:paraId="6D18F1CE" w14:textId="77777777" w:rsidR="00990242" w:rsidRDefault="00000000">
      <w:r>
        <w:t>II</w:t>
      </w:r>
      <w:r>
        <w:tab/>
        <w:t>Data collection, transformation, and descriptive statistics</w:t>
      </w:r>
    </w:p>
    <w:p w14:paraId="71016272" w14:textId="77777777" w:rsidR="00990242" w:rsidRDefault="00000000">
      <w:r>
        <w:t>III</w:t>
      </w:r>
      <w:r>
        <w:tab/>
        <w:t>Regression and VAR estimation results</w:t>
      </w:r>
    </w:p>
    <w:p w14:paraId="5D2A9DEF" w14:textId="77777777" w:rsidR="00990242" w:rsidRDefault="00000000">
      <w:r>
        <w:t>IV</w:t>
      </w:r>
      <w:r>
        <w:tab/>
        <w:t>Diagnostic test results (Breusch–Pagan, VIF)</w:t>
      </w:r>
    </w:p>
    <w:p w14:paraId="46F9B0AA" w14:textId="77777777" w:rsidR="00990242" w:rsidRDefault="00000000">
      <w:r>
        <w:t>V</w:t>
      </w:r>
      <w:r>
        <w:tab/>
        <w:t>Visualization section (trend, scatter, IRF, decomposition)</w:t>
      </w:r>
    </w:p>
    <w:p w14:paraId="73FB579A" w14:textId="77777777" w:rsidR="00990242" w:rsidRDefault="00000000">
      <w:r>
        <w:t>VI</w:t>
      </w:r>
      <w:r>
        <w:tab/>
        <w:t>Discussion and interpretation (regime-wise narrative)</w:t>
      </w:r>
    </w:p>
    <w:p w14:paraId="0C5C93BA" w14:textId="77777777" w:rsidR="00990242" w:rsidRDefault="00000000">
      <w:r>
        <w:t>VII</w:t>
      </w:r>
      <w:r>
        <w:tab/>
        <w:t>Conclusion and insights (causality, evolution, economic meaning)</w:t>
      </w:r>
    </w:p>
    <w:p w14:paraId="67C3478F" w14:textId="77777777" w:rsidR="00DA5E08" w:rsidRDefault="00DA5E08"/>
    <w:p w14:paraId="2A3CDD2D" w14:textId="5AA2F6B9" w:rsidR="00DA5E08" w:rsidRDefault="00DA5E08">
      <w:r>
        <w:t xml:space="preserve">Note on GBP Index: </w:t>
      </w:r>
      <w:r w:rsidRPr="00DA5E08">
        <w:t xml:space="preserve">The </w:t>
      </w:r>
      <w:r>
        <w:t>GBP index</w:t>
      </w:r>
      <w:r w:rsidRPr="00DA5E08">
        <w:t xml:space="preserve"> rate series was constructed by splicing the official Trade-Weighted GBP Index with the narrow nominal effective exchange rate for the pre-1997 period. To ensure consistency in long-run dynamics, the Trade-Weighted Index was treated as the reference level series, while pre-1997 observations were back-cast using growth rates from the narrow NEER. This approach preserves the long-run definition of the exchange rate index and avoids artificial level shifts that could bias cointegration analysis.</w:t>
      </w:r>
    </w:p>
    <w:sectPr w:rsidR="00DA5E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va Mono">
    <w:charset w:val="00"/>
    <w:family w:val="auto"/>
    <w:pitch w:val="default"/>
    <w:embedRegular r:id="rId1" w:fontKey="{5D6C60DB-57D0-42FB-AEFB-464EF942576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4356A5B-ACDD-4C1C-BF89-93D203AD1FC4}"/>
  </w:font>
  <w:font w:name="Cambria">
    <w:panose1 w:val="02040503050406030204"/>
    <w:charset w:val="00"/>
    <w:family w:val="roman"/>
    <w:pitch w:val="variable"/>
    <w:sig w:usb0="E00006FF" w:usb1="420024FF" w:usb2="02000000" w:usb3="00000000" w:csb0="0000019F" w:csb1="00000000"/>
    <w:embedRegular r:id="rId3" w:fontKey="{E1965A7E-D88A-4607-8CCB-505DD2E61B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1784A"/>
    <w:multiLevelType w:val="multilevel"/>
    <w:tmpl w:val="187CC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557D7"/>
    <w:multiLevelType w:val="multilevel"/>
    <w:tmpl w:val="1AFED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E943C8"/>
    <w:multiLevelType w:val="multilevel"/>
    <w:tmpl w:val="26668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5C6DE2"/>
    <w:multiLevelType w:val="multilevel"/>
    <w:tmpl w:val="9F7CC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633AC6"/>
    <w:multiLevelType w:val="multilevel"/>
    <w:tmpl w:val="DF764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D47A9B"/>
    <w:multiLevelType w:val="multilevel"/>
    <w:tmpl w:val="A492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033563"/>
    <w:multiLevelType w:val="multilevel"/>
    <w:tmpl w:val="8D4E4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C02940"/>
    <w:multiLevelType w:val="multilevel"/>
    <w:tmpl w:val="669E4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B84D1F"/>
    <w:multiLevelType w:val="multilevel"/>
    <w:tmpl w:val="C8726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7F169C"/>
    <w:multiLevelType w:val="multilevel"/>
    <w:tmpl w:val="2BE66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F9D0A92"/>
    <w:multiLevelType w:val="multilevel"/>
    <w:tmpl w:val="80A84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655118">
    <w:abstractNumId w:val="6"/>
  </w:num>
  <w:num w:numId="2" w16cid:durableId="1429428663">
    <w:abstractNumId w:val="0"/>
  </w:num>
  <w:num w:numId="3" w16cid:durableId="298077609">
    <w:abstractNumId w:val="9"/>
  </w:num>
  <w:num w:numId="4" w16cid:durableId="1044140128">
    <w:abstractNumId w:val="2"/>
  </w:num>
  <w:num w:numId="5" w16cid:durableId="878399778">
    <w:abstractNumId w:val="7"/>
  </w:num>
  <w:num w:numId="6" w16cid:durableId="1467164483">
    <w:abstractNumId w:val="3"/>
  </w:num>
  <w:num w:numId="7" w16cid:durableId="800727091">
    <w:abstractNumId w:val="4"/>
  </w:num>
  <w:num w:numId="8" w16cid:durableId="975254682">
    <w:abstractNumId w:val="5"/>
  </w:num>
  <w:num w:numId="9" w16cid:durableId="135415129">
    <w:abstractNumId w:val="10"/>
  </w:num>
  <w:num w:numId="10" w16cid:durableId="1012683715">
    <w:abstractNumId w:val="1"/>
  </w:num>
  <w:num w:numId="11" w16cid:durableId="1093935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242"/>
    <w:rsid w:val="00854210"/>
    <w:rsid w:val="00990242"/>
    <w:rsid w:val="00DA5E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B32CD"/>
  <w15:docId w15:val="{979319A1-1633-4882-980B-2B1C8662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1476</Words>
  <Characters>8417</Characters>
  <Application>Microsoft Office Word</Application>
  <DocSecurity>0</DocSecurity>
  <Lines>70</Lines>
  <Paragraphs>19</Paragraphs>
  <ScaleCrop>false</ScaleCrop>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Didarul Chowdhury</cp:lastModifiedBy>
  <cp:revision>2</cp:revision>
  <dcterms:created xsi:type="dcterms:W3CDTF">2026-01-06T06:32:00Z</dcterms:created>
  <dcterms:modified xsi:type="dcterms:W3CDTF">2026-01-06T06:34:00Z</dcterms:modified>
</cp:coreProperties>
</file>