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0F" w:rsidRPr="00C965EC" w:rsidRDefault="000F1B0F" w:rsidP="000F1B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133350</wp:posOffset>
                </wp:positionV>
                <wp:extent cx="6729730" cy="1446530"/>
                <wp:effectExtent l="0" t="0" r="13970" b="203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9730" cy="1446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F" w:rsidRDefault="000F1B0F" w:rsidP="000F1B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1D1C2C"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Blueprint Document</w:t>
                            </w:r>
                          </w:p>
                          <w:p w:rsidR="000F1B0F" w:rsidRDefault="000F1B0F" w:rsidP="000F1B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E-Procurement</w:t>
                            </w:r>
                          </w:p>
                          <w:p w:rsidR="000F1B0F" w:rsidRPr="00C932D5" w:rsidRDefault="000F1B0F" w:rsidP="000F1B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8.8pt;margin-top:10.5pt;width:529.9pt;height:1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" fillcolor="#9cc2e5 [1940]" strokecolor="#5b9bd5 [3204]" strokeweight="1pt">
                <v:textbox>
                  <w:txbxContent>
                    <w:p w:rsidR="000F1B0F" w:rsidRDefault="000F1B0F" w:rsidP="000F1B0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</w:rPr>
                      </w:pPr>
                      <w:r w:rsidRPr="001D1C2C"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  <w:t>Blueprint Document</w:t>
                      </w:r>
                    </w:p>
                    <w:p w:rsidR="000F1B0F" w:rsidRDefault="000F1B0F" w:rsidP="000F1B0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  <w:t>E-Procurement</w:t>
                      </w:r>
                    </w:p>
                    <w:p w:rsidR="000F1B0F" w:rsidRPr="00C932D5" w:rsidRDefault="000F1B0F" w:rsidP="000F1B0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1B1F9A" w:rsidRDefault="000F1B0F" w:rsidP="000F1B0F">
      <w:pPr>
        <w:tabs>
          <w:tab w:val="left" w:pos="3396"/>
        </w:tabs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ab/>
      </w:r>
    </w:p>
    <w:p w:rsidR="000F1B0F" w:rsidRPr="007D62C4" w:rsidRDefault="000F1B0F" w:rsidP="000F1B0F">
      <w:pPr>
        <w:rPr>
          <w:rFonts w:ascii="Century Gothic" w:hAnsi="Century Gothic" w:cs="Calibri"/>
          <w:color w:val="0070C0"/>
          <w:sz w:val="32"/>
          <w:szCs w:val="32"/>
        </w:rPr>
      </w:pPr>
      <w:r w:rsidRPr="007D62C4">
        <w:rPr>
          <w:rFonts w:ascii="Century Gothic" w:hAnsi="Century Gothic" w:cs="Calibri"/>
          <w:sz w:val="32"/>
          <w:szCs w:val="32"/>
          <w:lang w:val="id-ID"/>
        </w:rPr>
        <w:t xml:space="preserve">Prepared for </w:t>
      </w:r>
    </w:p>
    <w:p w:rsidR="000F1B0F" w:rsidRPr="00DF7DC5" w:rsidRDefault="000F1B0F" w:rsidP="000F1B0F">
      <w:pPr>
        <w:rPr>
          <w:rFonts w:ascii="Century Gothic" w:hAnsi="Century Gothic" w:cs="Calibri"/>
          <w:b/>
          <w:sz w:val="32"/>
          <w:szCs w:val="32"/>
        </w:rPr>
      </w:pPr>
      <w:proofErr w:type="spellStart"/>
      <w:r w:rsidRPr="00DF7DC5">
        <w:rPr>
          <w:rFonts w:ascii="Century Gothic" w:hAnsi="Century Gothic" w:cs="Calibri"/>
          <w:b/>
          <w:sz w:val="32"/>
          <w:szCs w:val="32"/>
        </w:rPr>
        <w:t>Enesis</w:t>
      </w:r>
      <w:proofErr w:type="spellEnd"/>
      <w:r w:rsidRPr="00DF7DC5">
        <w:rPr>
          <w:rFonts w:ascii="Century Gothic" w:hAnsi="Century Gothic" w:cs="Calibri"/>
          <w:b/>
          <w:sz w:val="32"/>
          <w:szCs w:val="32"/>
        </w:rPr>
        <w:t xml:space="preserve"> Group</w:t>
      </w:r>
    </w:p>
    <w:p w:rsidR="000F1B0F" w:rsidRPr="007D62C4" w:rsidRDefault="000F1B0F" w:rsidP="000F1B0F">
      <w:pPr>
        <w:tabs>
          <w:tab w:val="center" w:pos="4513"/>
        </w:tabs>
        <w:rPr>
          <w:rFonts w:ascii="Century Gothic" w:hAnsi="Century Gothic" w:cs="Calibri"/>
          <w:color w:val="0070C0"/>
          <w:sz w:val="26"/>
          <w:szCs w:val="26"/>
          <w:lang w:val="id-ID"/>
        </w:rPr>
      </w:pPr>
      <w:r w:rsidRPr="007D62C4">
        <w:rPr>
          <w:rFonts w:ascii="Century Gothic" w:hAnsi="Century Gothic" w:cs="Calibri"/>
          <w:color w:val="000000"/>
          <w:sz w:val="26"/>
          <w:szCs w:val="26"/>
        </w:rPr>
        <w:t>Version:</w:t>
      </w:r>
      <w:r w:rsidRPr="007D62C4">
        <w:rPr>
          <w:rFonts w:ascii="Century Gothic" w:hAnsi="Century Gothic" w:cs="Calibri"/>
          <w:color w:val="0070C0"/>
          <w:sz w:val="26"/>
          <w:szCs w:val="26"/>
          <w:lang w:val="id-ID"/>
        </w:rPr>
        <w:t xml:space="preserve"> </w:t>
      </w:r>
      <w:r w:rsidRPr="00DF7DC5">
        <w:rPr>
          <w:rFonts w:ascii="Century Gothic" w:hAnsi="Century Gothic" w:cs="Calibri"/>
          <w:sz w:val="26"/>
          <w:szCs w:val="26"/>
        </w:rPr>
        <w:t>Draft</w:t>
      </w:r>
    </w:p>
    <w:p w:rsidR="000F1B0F" w:rsidRPr="001B1F9A" w:rsidRDefault="000F1B0F" w:rsidP="000F1B0F">
      <w:pPr>
        <w:rPr>
          <w:rFonts w:cs="Calibri"/>
          <w:color w:val="0070C0"/>
          <w:sz w:val="40"/>
          <w:szCs w:val="40"/>
        </w:rPr>
      </w:pPr>
    </w:p>
    <w:p w:rsidR="000F1B0F" w:rsidRPr="001B1F9A" w:rsidRDefault="000F1B0F" w:rsidP="000F1B0F">
      <w:pPr>
        <w:rPr>
          <w:rFonts w:cs="Calibri"/>
          <w:b/>
          <w:color w:val="548DD4"/>
          <w:sz w:val="36"/>
          <w:szCs w:val="36"/>
        </w:rPr>
      </w:pPr>
      <w:r w:rsidRPr="001B1F9A">
        <w:rPr>
          <w:rFonts w:cs="Calibri"/>
          <w:b/>
          <w:color w:val="548DD4"/>
          <w:sz w:val="36"/>
          <w:szCs w:val="36"/>
        </w:rPr>
        <w:tab/>
      </w:r>
    </w:p>
    <w:p w:rsidR="000F1B0F" w:rsidRPr="001B1F9A" w:rsidRDefault="000F1B0F" w:rsidP="000F1B0F">
      <w:pPr>
        <w:rPr>
          <w:rFonts w:cs="Calibri"/>
          <w:b/>
          <w:color w:val="548DD4"/>
          <w:sz w:val="36"/>
          <w:szCs w:val="36"/>
        </w:rPr>
      </w:pPr>
    </w:p>
    <w:p w:rsidR="000F1B0F" w:rsidRDefault="000F1B0F" w:rsidP="000F1B0F">
      <w:pPr>
        <w:rPr>
          <w:rFonts w:cs="Calibri"/>
          <w:b/>
        </w:rPr>
      </w:pPr>
      <w:r w:rsidRPr="001B1F9A">
        <w:rPr>
          <w:rFonts w:cs="Calibri"/>
          <w:b/>
        </w:rPr>
        <w:t>Author</w:t>
      </w:r>
    </w:p>
    <w:p w:rsidR="000F1B0F" w:rsidRDefault="000E07A4" w:rsidP="000F1B0F">
      <w:pPr>
        <w:rPr>
          <w:rFonts w:cs="Calibri"/>
          <w:b/>
        </w:rPr>
      </w:pPr>
      <w:r>
        <w:rPr>
          <w:rFonts w:cs="Calibri"/>
          <w:b/>
        </w:rPr>
        <w:t>IT Dept.</w:t>
      </w:r>
    </w:p>
    <w:p w:rsidR="000F1B0F" w:rsidRDefault="000F1B0F" w:rsidP="000F1B0F">
      <w:pPr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Yunan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Yazid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Amrullah</w:t>
      </w:r>
      <w:proofErr w:type="spellEnd"/>
    </w:p>
    <w:p w:rsidR="000F1B0F" w:rsidRDefault="000F1B0F" w:rsidP="000F1B0F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Randy Fardiansyah</w:t>
      </w:r>
    </w:p>
    <w:p w:rsidR="000F1B0F" w:rsidRPr="00DF7DC5" w:rsidRDefault="000F1B0F" w:rsidP="000F1B0F">
      <w:pPr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Nanang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Fajar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Untoro</w:t>
      </w:r>
      <w:proofErr w:type="spellEnd"/>
    </w:p>
    <w:p w:rsidR="000F1B0F" w:rsidRDefault="000F1B0F" w:rsidP="000F1B0F">
      <w:pPr>
        <w:rPr>
          <w:rFonts w:cs="Calibri"/>
          <w:color w:val="0070C0"/>
          <w:sz w:val="20"/>
          <w:szCs w:val="20"/>
        </w:rPr>
      </w:pPr>
    </w:p>
    <w:p w:rsidR="000F1B0F" w:rsidRPr="00914427" w:rsidRDefault="000F1B0F" w:rsidP="000F1B0F">
      <w:pPr>
        <w:rPr>
          <w:rFonts w:cs="Calibri"/>
          <w:i/>
          <w:sz w:val="20"/>
          <w:szCs w:val="20"/>
        </w:rPr>
      </w:pPr>
    </w:p>
    <w:p w:rsidR="000F1B0F" w:rsidRDefault="000F1B0F" w:rsidP="000F1B0F">
      <w:pPr>
        <w:rPr>
          <w:rFonts w:cs="Calibri"/>
          <w:i/>
          <w:sz w:val="20"/>
          <w:szCs w:val="20"/>
          <w:lang w:val="id-ID"/>
        </w:rPr>
      </w:pPr>
    </w:p>
    <w:p w:rsidR="000F1B0F" w:rsidRDefault="000F1B0F" w:rsidP="000F1B0F">
      <w:pPr>
        <w:rPr>
          <w:rFonts w:cs="Calibri"/>
          <w:i/>
          <w:sz w:val="20"/>
          <w:szCs w:val="20"/>
          <w:lang w:val="id-ID"/>
        </w:rPr>
      </w:pPr>
    </w:p>
    <w:p w:rsidR="000F1B0F" w:rsidRPr="001B1F9A" w:rsidRDefault="000F1B0F" w:rsidP="000F1B0F">
      <w:pPr>
        <w:rPr>
          <w:rFonts w:cs="Calibri"/>
          <w:i/>
          <w:sz w:val="20"/>
          <w:szCs w:val="20"/>
          <w:lang w:val="id-ID"/>
        </w:rPr>
      </w:pPr>
    </w:p>
    <w:p w:rsidR="000F1B0F" w:rsidRPr="000F1B0F" w:rsidRDefault="000F1B0F" w:rsidP="000F1B0F">
      <w:pPr>
        <w:spacing w:line="360" w:lineRule="auto"/>
        <w:rPr>
          <w:rFonts w:cs="Calibri"/>
          <w:b/>
          <w:sz w:val="20"/>
          <w:szCs w:val="20"/>
        </w:rPr>
      </w:pPr>
      <w:r w:rsidRPr="005A3618">
        <w:rPr>
          <w:rFonts w:cs="Calibri"/>
          <w:b/>
          <w:sz w:val="20"/>
          <w:szCs w:val="20"/>
          <w:lang w:val="id-ID"/>
        </w:rPr>
        <w:t xml:space="preserve">PT. </w:t>
      </w:r>
      <w:proofErr w:type="spellStart"/>
      <w:r>
        <w:rPr>
          <w:rFonts w:cs="Calibri"/>
          <w:b/>
          <w:sz w:val="20"/>
          <w:szCs w:val="20"/>
        </w:rPr>
        <w:t>Herlina</w:t>
      </w:r>
      <w:proofErr w:type="spellEnd"/>
      <w:r>
        <w:rPr>
          <w:rFonts w:cs="Calibri"/>
          <w:b/>
          <w:sz w:val="20"/>
          <w:szCs w:val="20"/>
        </w:rPr>
        <w:t xml:space="preserve"> Indah</w:t>
      </w:r>
    </w:p>
    <w:p w:rsidR="000E07A4" w:rsidRPr="000E07A4" w:rsidRDefault="000E07A4" w:rsidP="000F1B0F">
      <w:pPr>
        <w:spacing w:line="360" w:lineRule="auto"/>
        <w:rPr>
          <w:rFonts w:cs="Calibri"/>
          <w:color w:val="3C4043"/>
          <w:sz w:val="20"/>
          <w:szCs w:val="20"/>
          <w:shd w:val="clear" w:color="auto" w:fill="FFFFFF"/>
        </w:rPr>
      </w:pPr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Jl. </w:t>
      </w:r>
      <w:proofErr w:type="spellStart"/>
      <w:r w:rsidRPr="000E07A4">
        <w:rPr>
          <w:rFonts w:cs="Calibri"/>
          <w:color w:val="3C4043"/>
          <w:sz w:val="20"/>
          <w:szCs w:val="20"/>
          <w:shd w:val="clear" w:color="auto" w:fill="FFFFFF"/>
        </w:rPr>
        <w:t>Rawa</w:t>
      </w:r>
      <w:proofErr w:type="spellEnd"/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 </w:t>
      </w:r>
      <w:proofErr w:type="spellStart"/>
      <w:r w:rsidRPr="000E07A4">
        <w:rPr>
          <w:rFonts w:cs="Calibri"/>
          <w:color w:val="3C4043"/>
          <w:sz w:val="20"/>
          <w:szCs w:val="20"/>
          <w:shd w:val="clear" w:color="auto" w:fill="FFFFFF"/>
        </w:rPr>
        <w:t>Sumur</w:t>
      </w:r>
      <w:proofErr w:type="spellEnd"/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 II/ Blok DD No. 16, </w:t>
      </w:r>
    </w:p>
    <w:p w:rsidR="000E07A4" w:rsidRPr="000E07A4" w:rsidRDefault="000E07A4" w:rsidP="000F1B0F">
      <w:pPr>
        <w:spacing w:line="360" w:lineRule="auto"/>
        <w:rPr>
          <w:rFonts w:cs="Calibri"/>
          <w:color w:val="3C4043"/>
          <w:sz w:val="20"/>
          <w:szCs w:val="20"/>
          <w:shd w:val="clear" w:color="auto" w:fill="FFFFFF"/>
        </w:rPr>
      </w:pPr>
      <w:proofErr w:type="spellStart"/>
      <w:r w:rsidRPr="000E07A4">
        <w:rPr>
          <w:rFonts w:cs="Calibri"/>
          <w:color w:val="3C4043"/>
          <w:sz w:val="20"/>
          <w:szCs w:val="20"/>
          <w:shd w:val="clear" w:color="auto" w:fill="FFFFFF"/>
        </w:rPr>
        <w:t>Kawasan</w:t>
      </w:r>
      <w:proofErr w:type="spellEnd"/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 </w:t>
      </w:r>
      <w:proofErr w:type="spellStart"/>
      <w:r w:rsidRPr="000E07A4">
        <w:rPr>
          <w:rFonts w:cs="Calibri"/>
          <w:color w:val="3C4043"/>
          <w:sz w:val="20"/>
          <w:szCs w:val="20"/>
          <w:shd w:val="clear" w:color="auto" w:fill="FFFFFF"/>
        </w:rPr>
        <w:t>Industri</w:t>
      </w:r>
      <w:proofErr w:type="spellEnd"/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 </w:t>
      </w:r>
      <w:proofErr w:type="spellStart"/>
      <w:r w:rsidRPr="000E07A4">
        <w:rPr>
          <w:rFonts w:cs="Calibri"/>
          <w:color w:val="3C4043"/>
          <w:sz w:val="20"/>
          <w:szCs w:val="20"/>
          <w:shd w:val="clear" w:color="auto" w:fill="FFFFFF"/>
        </w:rPr>
        <w:t>Pulogadung</w:t>
      </w:r>
      <w:proofErr w:type="spellEnd"/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, </w:t>
      </w:r>
    </w:p>
    <w:p w:rsidR="000E07A4" w:rsidRPr="000E07A4" w:rsidRDefault="000E07A4" w:rsidP="000F1B0F">
      <w:pPr>
        <w:spacing w:line="360" w:lineRule="auto"/>
        <w:rPr>
          <w:rFonts w:cs="Calibri"/>
          <w:color w:val="3C4043"/>
          <w:sz w:val="20"/>
          <w:szCs w:val="20"/>
          <w:shd w:val="clear" w:color="auto" w:fill="FFFFFF"/>
        </w:rPr>
      </w:pPr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Jakarta </w:t>
      </w:r>
      <w:proofErr w:type="spellStart"/>
      <w:r w:rsidRPr="000E07A4">
        <w:rPr>
          <w:rFonts w:cs="Calibri"/>
          <w:color w:val="3C4043"/>
          <w:sz w:val="20"/>
          <w:szCs w:val="20"/>
          <w:shd w:val="clear" w:color="auto" w:fill="FFFFFF"/>
        </w:rPr>
        <w:t>Timur</w:t>
      </w:r>
      <w:proofErr w:type="spellEnd"/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. </w:t>
      </w:r>
    </w:p>
    <w:p w:rsidR="000F1B0F" w:rsidRPr="000E07A4" w:rsidRDefault="000E07A4" w:rsidP="000F1B0F">
      <w:pPr>
        <w:spacing w:line="360" w:lineRule="auto"/>
        <w:rPr>
          <w:rFonts w:cs="Calibri"/>
          <w:sz w:val="20"/>
          <w:szCs w:val="20"/>
          <w:highlight w:val="yellow"/>
        </w:rPr>
      </w:pPr>
      <w:r w:rsidRPr="000E07A4">
        <w:rPr>
          <w:rFonts w:cs="Calibri"/>
          <w:color w:val="3C4043"/>
          <w:sz w:val="20"/>
          <w:szCs w:val="20"/>
          <w:shd w:val="clear" w:color="auto" w:fill="FFFFFF"/>
        </w:rPr>
        <w:t>Kota, Jakarta.</w:t>
      </w:r>
    </w:p>
    <w:p w:rsidR="000F1B0F" w:rsidRPr="000F1B0F" w:rsidRDefault="000F1B0F" w:rsidP="000F1B0F">
      <w:pPr>
        <w:spacing w:line="360" w:lineRule="auto"/>
        <w:rPr>
          <w:rFonts w:cs="Calibri"/>
          <w:sz w:val="20"/>
          <w:szCs w:val="20"/>
          <w:highlight w:val="yellow"/>
        </w:rPr>
      </w:pPr>
    </w:p>
    <w:p w:rsidR="000F1B0F" w:rsidRPr="000E07A4" w:rsidRDefault="000F1B0F" w:rsidP="000F1B0F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  <w:r w:rsidRPr="000E07A4">
        <w:rPr>
          <w:rFonts w:asciiTheme="minorHAnsi" w:hAnsiTheme="minorHAnsi" w:cstheme="minorHAnsi"/>
          <w:sz w:val="20"/>
          <w:szCs w:val="20"/>
          <w:lang w:val="id-ID"/>
        </w:rPr>
        <w:t>Phone</w:t>
      </w:r>
      <w:r w:rsidRPr="000E07A4">
        <w:rPr>
          <w:rFonts w:asciiTheme="minorHAnsi" w:hAnsiTheme="minorHAnsi" w:cstheme="minorHAnsi"/>
          <w:sz w:val="20"/>
          <w:szCs w:val="20"/>
          <w:lang w:val="id-ID"/>
        </w:rPr>
        <w:tab/>
      </w:r>
      <w:r w:rsidR="000E07A4" w:rsidRPr="000E07A4">
        <w:rPr>
          <w:rFonts w:asciiTheme="minorHAnsi" w:hAnsiTheme="minorHAnsi" w:cstheme="minorHAnsi"/>
          <w:sz w:val="20"/>
          <w:szCs w:val="20"/>
          <w:shd w:val="clear" w:color="auto" w:fill="FFFFFF"/>
        </w:rPr>
        <w:t>021-4600321/4609481-83</w:t>
      </w:r>
    </w:p>
    <w:p w:rsidR="000F1B0F" w:rsidRPr="000E07A4" w:rsidRDefault="000F1B0F" w:rsidP="000F1B0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0E07A4">
        <w:rPr>
          <w:rFonts w:asciiTheme="minorHAnsi" w:hAnsiTheme="minorHAnsi" w:cstheme="minorHAnsi"/>
          <w:sz w:val="20"/>
          <w:szCs w:val="20"/>
          <w:lang w:val="id-ID"/>
        </w:rPr>
        <w:t>Fax</w:t>
      </w:r>
      <w:r w:rsidRPr="000E07A4">
        <w:rPr>
          <w:rFonts w:asciiTheme="minorHAnsi" w:hAnsiTheme="minorHAnsi" w:cstheme="minorHAnsi"/>
          <w:sz w:val="20"/>
          <w:szCs w:val="20"/>
          <w:lang w:val="id-ID"/>
        </w:rPr>
        <w:tab/>
      </w:r>
      <w:r w:rsidR="000E07A4" w:rsidRPr="000E07A4">
        <w:rPr>
          <w:rFonts w:asciiTheme="minorHAnsi" w:hAnsiTheme="minorHAnsi" w:cstheme="minorHAnsi"/>
          <w:sz w:val="20"/>
          <w:szCs w:val="20"/>
          <w:shd w:val="clear" w:color="auto" w:fill="FFFFFF"/>
        </w:rPr>
        <w:t>021-4600320</w:t>
      </w:r>
    </w:p>
    <w:p w:rsidR="000F1B0F" w:rsidRPr="008F2A1D" w:rsidRDefault="000F1B0F" w:rsidP="000F1B0F">
      <w:pPr>
        <w:pStyle w:val="Heading1"/>
        <w:numPr>
          <w:ilvl w:val="0"/>
          <w:numId w:val="0"/>
        </w:numPr>
        <w:spacing w:before="0" w:after="120"/>
        <w:ind w:left="432" w:hanging="432"/>
        <w:jc w:val="center"/>
        <w:rPr>
          <w:rFonts w:ascii="Calibri" w:hAnsi="Calibri" w:cs="Calibri"/>
          <w:color w:val="auto"/>
          <w:sz w:val="22"/>
          <w:szCs w:val="22"/>
        </w:rPr>
      </w:pPr>
      <w:r>
        <w:rPr>
          <w:rFonts w:ascii="Trebuchet MS" w:hAnsi="Trebuchet MS" w:cs="Arial"/>
          <w:b w:val="0"/>
          <w:i/>
          <w:sz w:val="24"/>
          <w:szCs w:val="24"/>
        </w:rPr>
        <w:br w:type="page"/>
      </w:r>
      <w:bookmarkStart w:id="0" w:name="_Toc449364890"/>
      <w:bookmarkStart w:id="1" w:name="_Toc495333468"/>
      <w:bookmarkStart w:id="2" w:name="_Toc31096458"/>
      <w:r w:rsidRPr="008F2A1D">
        <w:rPr>
          <w:rFonts w:ascii="Calibri" w:hAnsi="Calibri" w:cs="Calibri"/>
          <w:color w:val="auto"/>
          <w:sz w:val="22"/>
          <w:szCs w:val="22"/>
        </w:rPr>
        <w:lastRenderedPageBreak/>
        <w:t>PREFACE</w:t>
      </w:r>
      <w:bookmarkEnd w:id="0"/>
      <w:bookmarkEnd w:id="1"/>
      <w:bookmarkEnd w:id="2"/>
    </w:p>
    <w:p w:rsidR="000F1B0F" w:rsidRPr="008F2A1D" w:rsidRDefault="000F1B0F" w:rsidP="000F1B0F">
      <w:pPr>
        <w:spacing w:after="120"/>
        <w:ind w:right="360"/>
        <w:rPr>
          <w:rFonts w:cs="Calibri"/>
          <w:iCs/>
          <w:szCs w:val="22"/>
        </w:rPr>
      </w:pPr>
    </w:p>
    <w:p w:rsidR="000F1B0F" w:rsidRPr="008F2A1D" w:rsidRDefault="000F1B0F" w:rsidP="000F1B0F">
      <w:pPr>
        <w:spacing w:after="120"/>
        <w:ind w:right="360"/>
        <w:rPr>
          <w:rFonts w:cs="Calibri"/>
          <w:b/>
          <w:iCs/>
          <w:szCs w:val="22"/>
          <w:lang w:val="id-ID"/>
        </w:rPr>
      </w:pPr>
      <w:r w:rsidRPr="008F2A1D">
        <w:rPr>
          <w:rFonts w:cs="Calibri"/>
          <w:b/>
          <w:iCs/>
          <w:szCs w:val="22"/>
        </w:rPr>
        <w:t>TO BE NOTICED</w:t>
      </w:r>
    </w:p>
    <w:p w:rsidR="000F1B0F" w:rsidRPr="008F2A1D" w:rsidRDefault="000F1B0F" w:rsidP="000F1B0F">
      <w:pPr>
        <w:rPr>
          <w:rFonts w:cs="Calibri"/>
          <w:szCs w:val="22"/>
        </w:rPr>
      </w:pPr>
      <w:r w:rsidRPr="008F2A1D">
        <w:rPr>
          <w:rFonts w:cs="Calibri"/>
          <w:szCs w:val="22"/>
        </w:rPr>
        <w:t>Text displayed in blue is included to provide guidance to the author and should be adjust or change unto the right context before publishing the document.</w:t>
      </w:r>
    </w:p>
    <w:p w:rsidR="000F1B0F" w:rsidRPr="008F2A1D" w:rsidRDefault="000F1B0F" w:rsidP="000F1B0F">
      <w:pPr>
        <w:rPr>
          <w:rFonts w:cs="Calibri"/>
          <w:szCs w:val="22"/>
        </w:rPr>
      </w:pPr>
    </w:p>
    <w:p w:rsidR="000F1B0F" w:rsidRPr="008F2A1D" w:rsidRDefault="000F1B0F" w:rsidP="000F1B0F">
      <w:pPr>
        <w:rPr>
          <w:rFonts w:cs="Calibri"/>
          <w:szCs w:val="22"/>
        </w:rPr>
      </w:pPr>
      <w:r w:rsidRPr="008F2A1D">
        <w:rPr>
          <w:rFonts w:cs="Calibri"/>
          <w:szCs w:val="22"/>
        </w:rPr>
        <w:t>Normal font color is black so any guidance written in blue has to be changed unto normal font color (black).</w:t>
      </w:r>
    </w:p>
    <w:p w:rsidR="000F1B0F" w:rsidRPr="008F2A1D" w:rsidRDefault="000F1B0F" w:rsidP="000F1B0F">
      <w:pPr>
        <w:rPr>
          <w:rFonts w:cs="Calibri"/>
          <w:szCs w:val="22"/>
        </w:rPr>
      </w:pPr>
    </w:p>
    <w:p w:rsidR="000F1B0F" w:rsidRPr="008F2A1D" w:rsidRDefault="000F1B0F" w:rsidP="000F1B0F">
      <w:pPr>
        <w:spacing w:after="120"/>
        <w:ind w:right="360"/>
        <w:rPr>
          <w:rFonts w:cs="Calibri"/>
          <w:iCs/>
          <w:szCs w:val="22"/>
        </w:rPr>
      </w:pPr>
      <w:r w:rsidRPr="008F2A1D">
        <w:rPr>
          <w:rFonts w:cs="Calibri"/>
          <w:szCs w:val="22"/>
        </w:rPr>
        <w:t>Author is allowed to add section or subsection in this document necessarily but initial content provided need to be kept as minimum.</w:t>
      </w:r>
    </w:p>
    <w:p w:rsidR="000F1B0F" w:rsidRPr="00D734F1" w:rsidRDefault="000F1B0F" w:rsidP="000F1B0F">
      <w:pPr>
        <w:spacing w:after="120"/>
        <w:ind w:right="360"/>
        <w:rPr>
          <w:rFonts w:cs="Calibri"/>
          <w:iCs/>
        </w:rPr>
      </w:pPr>
    </w:p>
    <w:p w:rsidR="000F1B0F" w:rsidRPr="00D734F1" w:rsidRDefault="000F1B0F" w:rsidP="000F1B0F">
      <w:pPr>
        <w:spacing w:after="120"/>
        <w:ind w:right="360"/>
        <w:rPr>
          <w:rFonts w:cs="Calibri"/>
          <w:b/>
          <w:iCs/>
          <w:lang w:val="id-ID"/>
        </w:rPr>
      </w:pPr>
      <w:r w:rsidRPr="00D734F1">
        <w:rPr>
          <w:rFonts w:cs="Calibri"/>
          <w:b/>
          <w:iCs/>
        </w:rPr>
        <w:t>DOCUMENT CHANGE CONTROL</w:t>
      </w:r>
    </w:p>
    <w:p w:rsidR="000F1B0F" w:rsidRPr="00D1512F" w:rsidRDefault="000F1B0F" w:rsidP="000F1B0F">
      <w:pPr>
        <w:spacing w:after="120"/>
        <w:ind w:left="180" w:right="360"/>
        <w:rPr>
          <w:iCs/>
        </w:rPr>
      </w:pPr>
    </w:p>
    <w:tbl>
      <w:tblPr>
        <w:tblW w:w="837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157"/>
        <w:gridCol w:w="1826"/>
        <w:gridCol w:w="1684"/>
        <w:gridCol w:w="3703"/>
      </w:tblGrid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Authors</w:t>
            </w: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Summary of Change</w:t>
            </w: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Pr="00AD6B8B" w:rsidRDefault="000F1B0F" w:rsidP="005C2E70">
            <w:pPr>
              <w:pStyle w:val="TableText"/>
              <w:spacing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id-ID"/>
              </w:rPr>
              <w:t>0.0</w:t>
            </w: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Pr="00AD6B8B" w:rsidRDefault="000F1B0F" w:rsidP="005C2E70">
            <w:pPr>
              <w:pStyle w:val="TableText"/>
              <w:spacing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27 </w:t>
            </w:r>
            <w:proofErr w:type="spellStart"/>
            <w:r>
              <w:rPr>
                <w:rFonts w:ascii="Calibri" w:hAnsi="Calibri" w:cs="Calibri"/>
              </w:rPr>
              <w:t>Januari</w:t>
            </w:r>
            <w:proofErr w:type="spellEnd"/>
            <w:r>
              <w:rPr>
                <w:rFonts w:ascii="Calibri" w:hAnsi="Calibri" w:cs="Calibri"/>
              </w:rPr>
              <w:t xml:space="preserve"> 2020</w:t>
            </w: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Pr="00E07CD9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Yunan</w:t>
            </w:r>
            <w:proofErr w:type="spellEnd"/>
            <w:r>
              <w:rPr>
                <w:rFonts w:ascii="Calibri" w:hAnsi="Calibri" w:cs="Calibri"/>
              </w:rPr>
              <w:t xml:space="preserve"> Y.A.</w:t>
            </w: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Creation</w:t>
            </w: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</w:tr>
    </w:tbl>
    <w:p w:rsidR="000F1B0F" w:rsidRDefault="000F1B0F" w:rsidP="000F1B0F">
      <w:pPr>
        <w:pStyle w:val="TOCHeading"/>
        <w:numPr>
          <w:ilvl w:val="0"/>
          <w:numId w:val="0"/>
        </w:numPr>
        <w:rPr>
          <w:rFonts w:ascii="Calibri" w:hAnsi="Calibri" w:cs="Calibri"/>
          <w:b/>
          <w:sz w:val="28"/>
          <w:szCs w:val="28"/>
        </w:rPr>
      </w:pPr>
      <w:r>
        <w:br w:type="page"/>
      </w:r>
      <w:r>
        <w:rPr>
          <w:rFonts w:ascii="Calibri" w:hAnsi="Calibri" w:cs="Calibri"/>
          <w:b/>
          <w:sz w:val="28"/>
          <w:szCs w:val="28"/>
        </w:rPr>
        <w:lastRenderedPageBreak/>
        <w:t>Table of Contents</w:t>
      </w:r>
    </w:p>
    <w:p w:rsidR="000F1B0F" w:rsidRDefault="000F1B0F" w:rsidP="000F1B0F"/>
    <w:p w:rsidR="00F81A0A" w:rsidRDefault="000F1B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\o "1-2" \h \z \u </w:instrText>
      </w:r>
      <w:r>
        <w:rPr>
          <w:rFonts w:cs="Calibri"/>
        </w:rPr>
        <w:fldChar w:fldCharType="separate"/>
      </w:r>
      <w:hyperlink w:anchor="_Toc31096458" w:history="1">
        <w:r w:rsidR="00F81A0A" w:rsidRPr="001539FD">
          <w:rPr>
            <w:rStyle w:val="Hyperlink"/>
            <w:rFonts w:cs="Calibri"/>
            <w:noProof/>
          </w:rPr>
          <w:t>PREFACE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_Toc31096458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2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A56482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59" w:history="1">
        <w:r w:rsidR="00F81A0A" w:rsidRPr="001539FD">
          <w:rPr>
            <w:rStyle w:val="Hyperlink"/>
            <w:rFonts w:cs="Calibri"/>
            <w:noProof/>
          </w:rPr>
          <w:t>1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rFonts w:cs="Calibri"/>
            <w:noProof/>
          </w:rPr>
          <w:t>DEFINITION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_Toc31096459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4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A56482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0" w:history="1">
        <w:r w:rsidR="00F81A0A" w:rsidRPr="001539FD">
          <w:rPr>
            <w:rStyle w:val="Hyperlink"/>
            <w:rFonts w:cs="Calibri"/>
            <w:noProof/>
          </w:rPr>
          <w:t>2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rFonts w:cs="Calibri"/>
            <w:noProof/>
          </w:rPr>
          <w:t>DESCRIPTION OF TO BE DESIGN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_Toc31096460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4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A5648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1" w:history="1">
        <w:r w:rsidR="00F81A0A" w:rsidRPr="001539FD">
          <w:rPr>
            <w:rStyle w:val="Hyperlink"/>
            <w:noProof/>
            <w:lang w:val="de-DE"/>
          </w:rPr>
          <w:t>2.1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  <w:lang w:val="de-DE"/>
          </w:rPr>
          <w:t>Master Vendor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_Toc31096461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4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A5648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2" w:history="1">
        <w:r w:rsidR="00F81A0A" w:rsidRPr="001539FD">
          <w:rPr>
            <w:rStyle w:val="Hyperlink"/>
            <w:noProof/>
          </w:rPr>
          <w:t>2.2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Master Material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_Toc31096462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5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A5648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3" w:history="1">
        <w:r w:rsidR="00F81A0A" w:rsidRPr="001539FD">
          <w:rPr>
            <w:rStyle w:val="Hyperlink"/>
            <w:noProof/>
          </w:rPr>
          <w:t>2.3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RN-PR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_Toc31096463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6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A5648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4" w:history="1">
        <w:r w:rsidR="00F81A0A" w:rsidRPr="001539FD">
          <w:rPr>
            <w:rStyle w:val="Hyperlink"/>
            <w:noProof/>
          </w:rPr>
          <w:t>2.4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PR-PO (non-MRP)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_Toc31096464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7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A5648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5" w:history="1">
        <w:r w:rsidR="00F81A0A" w:rsidRPr="001539FD">
          <w:rPr>
            <w:rStyle w:val="Hyperlink"/>
            <w:noProof/>
          </w:rPr>
          <w:t>2.5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PR-PO (MRP)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_Toc31096465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9</w:t>
        </w:r>
        <w:r w:rsidR="00F81A0A">
          <w:rPr>
            <w:noProof/>
            <w:webHidden/>
          </w:rPr>
          <w:fldChar w:fldCharType="end"/>
        </w:r>
      </w:hyperlink>
    </w:p>
    <w:p w:rsidR="000F1B0F" w:rsidRDefault="000F1B0F" w:rsidP="000F1B0F">
      <w:pPr>
        <w:rPr>
          <w:rFonts w:cs="Calibri"/>
          <w:b/>
          <w:bCs/>
          <w:noProof/>
        </w:rPr>
      </w:pPr>
      <w:r>
        <w:rPr>
          <w:rFonts w:cs="Calibri"/>
        </w:rPr>
        <w:fldChar w:fldCharType="end"/>
      </w: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0F1B0F" w:rsidRPr="00CC13D2" w:rsidRDefault="000F1B0F" w:rsidP="000F1B0F">
      <w:pPr>
        <w:pStyle w:val="Heading1"/>
        <w:keepNext/>
        <w:spacing w:after="60" w:line="240" w:lineRule="auto"/>
        <w:ind w:left="432" w:hanging="432"/>
        <w:jc w:val="left"/>
        <w:rPr>
          <w:rFonts w:ascii="Calibri" w:hAnsi="Calibri" w:cs="Calibri"/>
          <w:sz w:val="22"/>
          <w:szCs w:val="22"/>
        </w:rPr>
      </w:pPr>
      <w:bookmarkStart w:id="3" w:name="_Toc420053378"/>
      <w:bookmarkStart w:id="4" w:name="_Toc518981465"/>
      <w:bookmarkStart w:id="5" w:name="_Toc522093141"/>
      <w:bookmarkStart w:id="6" w:name="_Toc31096459"/>
      <w:bookmarkStart w:id="7" w:name="_Toc181795236"/>
      <w:bookmarkStart w:id="8" w:name="_Toc67755727"/>
      <w:r w:rsidRPr="00CC13D2">
        <w:rPr>
          <w:rFonts w:ascii="Calibri" w:hAnsi="Calibri" w:cs="Calibri"/>
          <w:sz w:val="22"/>
          <w:szCs w:val="22"/>
        </w:rPr>
        <w:t>DEFINITION</w:t>
      </w:r>
      <w:bookmarkEnd w:id="3"/>
      <w:bookmarkEnd w:id="4"/>
      <w:bookmarkEnd w:id="5"/>
      <w:bookmarkEnd w:id="6"/>
    </w:p>
    <w:p w:rsidR="000F1B0F" w:rsidRDefault="000F1B0F" w:rsidP="000F1B0F">
      <w:pPr>
        <w:spacing w:before="80"/>
        <w:ind w:left="450" w:right="26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Aplikasi</w:t>
      </w:r>
      <w:proofErr w:type="spellEnd"/>
      <w:r>
        <w:rPr>
          <w:rFonts w:cs="Arial"/>
          <w:color w:val="000000"/>
        </w:rPr>
        <w:t xml:space="preserve"> E-</w:t>
      </w:r>
      <w:proofErr w:type="gramStart"/>
      <w:r>
        <w:rPr>
          <w:rFonts w:cs="Arial"/>
          <w:color w:val="000000"/>
        </w:rPr>
        <w:t xml:space="preserve">Procurement  </w:t>
      </w:r>
      <w:proofErr w:type="spellStart"/>
      <w:r>
        <w:rPr>
          <w:rFonts w:cs="Arial"/>
          <w:color w:val="000000"/>
        </w:rPr>
        <w:t>adalah</w:t>
      </w:r>
      <w:proofErr w:type="spellEnd"/>
      <w:proofErr w:type="gram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aplikasi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pengembangan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dari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aplikasi</w:t>
      </w:r>
      <w:proofErr w:type="spellEnd"/>
      <w:r>
        <w:rPr>
          <w:rFonts w:cs="Arial"/>
          <w:color w:val="000000"/>
        </w:rPr>
        <w:t xml:space="preserve"> E-Purchasing </w:t>
      </w:r>
      <w:proofErr w:type="spellStart"/>
      <w:r>
        <w:rPr>
          <w:rFonts w:cs="Arial"/>
          <w:color w:val="000000"/>
        </w:rPr>
        <w:t>dan</w:t>
      </w:r>
      <w:proofErr w:type="spellEnd"/>
      <w:r>
        <w:rPr>
          <w:rFonts w:cs="Arial"/>
          <w:color w:val="000000"/>
        </w:rPr>
        <w:t xml:space="preserve"> E-Bidding.</w:t>
      </w:r>
    </w:p>
    <w:p w:rsidR="000F1B0F" w:rsidRDefault="000F1B0F" w:rsidP="000F1B0F">
      <w:pPr>
        <w:spacing w:before="80"/>
        <w:ind w:left="450" w:right="26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Aplikasi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ini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terintegrasi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dengan</w:t>
      </w:r>
      <w:proofErr w:type="spellEnd"/>
      <w:r>
        <w:rPr>
          <w:rFonts w:cs="Arial"/>
          <w:color w:val="000000"/>
        </w:rPr>
        <w:t xml:space="preserve"> SAP, </w:t>
      </w:r>
      <w:proofErr w:type="spellStart"/>
      <w:r>
        <w:rPr>
          <w:rFonts w:cs="Arial"/>
          <w:color w:val="000000"/>
        </w:rPr>
        <w:t>dimana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aplikasi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ini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dibuat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untuk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mengurangi</w:t>
      </w:r>
      <w:proofErr w:type="spellEnd"/>
      <w:r>
        <w:rPr>
          <w:rFonts w:cs="Arial"/>
          <w:color w:val="000000"/>
        </w:rPr>
        <w:t xml:space="preserve"> user license </w:t>
      </w:r>
      <w:proofErr w:type="spellStart"/>
      <w:r>
        <w:rPr>
          <w:rFonts w:cs="Arial"/>
          <w:color w:val="000000"/>
        </w:rPr>
        <w:t>khususnya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pada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modul</w:t>
      </w:r>
      <w:proofErr w:type="spellEnd"/>
      <w:r>
        <w:rPr>
          <w:rFonts w:cs="Arial"/>
          <w:color w:val="000000"/>
        </w:rPr>
        <w:t xml:space="preserve"> MM.</w:t>
      </w:r>
    </w:p>
    <w:p w:rsidR="00F64B81" w:rsidRDefault="00F64B81" w:rsidP="000F1B0F">
      <w:pPr>
        <w:spacing w:before="80"/>
        <w:ind w:left="450" w:right="26"/>
        <w:rPr>
          <w:rFonts w:cs="Arial"/>
          <w:color w:val="000000"/>
        </w:rPr>
      </w:pPr>
    </w:p>
    <w:p w:rsidR="00F64B81" w:rsidRDefault="00F64B81" w:rsidP="000F1B0F">
      <w:pPr>
        <w:spacing w:before="80"/>
        <w:ind w:left="450" w:right="26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Dalam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Aplikasi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ini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terdiri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dari</w:t>
      </w:r>
      <w:proofErr w:type="spellEnd"/>
      <w:r>
        <w:rPr>
          <w:rFonts w:cs="Arial"/>
          <w:color w:val="000000"/>
        </w:rPr>
        <w:t xml:space="preserve"> 3 (</w:t>
      </w:r>
      <w:proofErr w:type="spellStart"/>
      <w:r>
        <w:rPr>
          <w:rFonts w:cs="Arial"/>
          <w:color w:val="000000"/>
        </w:rPr>
        <w:t>tiga</w:t>
      </w:r>
      <w:proofErr w:type="spellEnd"/>
      <w:r>
        <w:rPr>
          <w:rFonts w:cs="Arial"/>
          <w:color w:val="000000"/>
        </w:rPr>
        <w:t xml:space="preserve">) proses </w:t>
      </w:r>
      <w:proofErr w:type="spellStart"/>
      <w:r>
        <w:rPr>
          <w:rFonts w:cs="Arial"/>
          <w:color w:val="000000"/>
        </w:rPr>
        <w:t>utama</w:t>
      </w:r>
      <w:proofErr w:type="spellEnd"/>
      <w:r>
        <w:rPr>
          <w:rFonts w:cs="Arial"/>
          <w:color w:val="000000"/>
        </w:rPr>
        <w:t>:</w:t>
      </w:r>
    </w:p>
    <w:p w:rsidR="00F64B81" w:rsidRDefault="00F64B81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Request Note (RN)</w:t>
      </w:r>
    </w:p>
    <w:p w:rsidR="00F64B81" w:rsidRDefault="00F64B81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Purchase Requisition (PR)</w:t>
      </w:r>
    </w:p>
    <w:p w:rsidR="00F64B81" w:rsidRDefault="00F64B81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Purchase Order (PO).</w:t>
      </w:r>
    </w:p>
    <w:p w:rsidR="00F64B81" w:rsidRPr="00F64B81" w:rsidRDefault="00F64B81" w:rsidP="00F64B81">
      <w:pPr>
        <w:pStyle w:val="ListParagraph"/>
        <w:spacing w:before="80"/>
        <w:ind w:left="810" w:right="26"/>
        <w:rPr>
          <w:rFonts w:cs="Arial"/>
          <w:color w:val="000000"/>
        </w:rPr>
      </w:pPr>
    </w:p>
    <w:p w:rsidR="00F64B81" w:rsidRDefault="00F64B81" w:rsidP="00F64B81">
      <w:pPr>
        <w:pStyle w:val="Heading1"/>
        <w:keepNext/>
        <w:spacing w:after="60" w:line="240" w:lineRule="auto"/>
        <w:ind w:left="432" w:hanging="432"/>
        <w:jc w:val="left"/>
        <w:rPr>
          <w:rFonts w:ascii="Calibri" w:hAnsi="Calibri" w:cs="Calibri"/>
          <w:sz w:val="22"/>
          <w:szCs w:val="22"/>
        </w:rPr>
      </w:pPr>
      <w:bookmarkStart w:id="9" w:name="_Toc420053382"/>
      <w:bookmarkStart w:id="10" w:name="_Toc518981469"/>
      <w:bookmarkStart w:id="11" w:name="_Toc522093145"/>
      <w:bookmarkStart w:id="12" w:name="_Toc31096460"/>
      <w:bookmarkEnd w:id="7"/>
      <w:bookmarkEnd w:id="8"/>
      <w:r w:rsidRPr="00CC13D2">
        <w:rPr>
          <w:rFonts w:ascii="Calibri" w:hAnsi="Calibri" w:cs="Calibri"/>
          <w:sz w:val="22"/>
          <w:szCs w:val="22"/>
        </w:rPr>
        <w:t>DESCRIPTION OF TO BE DESIGN</w:t>
      </w:r>
      <w:bookmarkEnd w:id="9"/>
      <w:bookmarkEnd w:id="10"/>
      <w:bookmarkEnd w:id="11"/>
      <w:bookmarkEnd w:id="12"/>
    </w:p>
    <w:p w:rsidR="0097257B" w:rsidRDefault="0097257B" w:rsidP="0097257B">
      <w:pPr>
        <w:rPr>
          <w:lang w:val="de-DE"/>
        </w:rPr>
      </w:pPr>
    </w:p>
    <w:p w:rsidR="0097257B" w:rsidRPr="0097257B" w:rsidRDefault="0076542E" w:rsidP="0097257B">
      <w:pPr>
        <w:pStyle w:val="Heading2"/>
        <w:rPr>
          <w:lang w:val="de-DE"/>
        </w:rPr>
      </w:pPr>
      <w:bookmarkStart w:id="13" w:name="_Toc31096461"/>
      <w:r>
        <w:rPr>
          <w:lang w:val="de-DE"/>
        </w:rPr>
        <w:t>Master Vendor</w:t>
      </w:r>
      <w:bookmarkEnd w:id="13"/>
    </w:p>
    <w:p w:rsidR="008A7356" w:rsidRDefault="008A7356" w:rsidP="008A7356">
      <w:pPr>
        <w:rPr>
          <w:lang w:val="de-DE"/>
        </w:rPr>
      </w:pPr>
    </w:p>
    <w:p w:rsidR="0076542E" w:rsidRDefault="0097257B">
      <w:pPr>
        <w:spacing w:after="160" w:line="259" w:lineRule="auto"/>
        <w:jc w:val="left"/>
      </w:pPr>
      <w:r>
        <w:object w:dxaOrig="15865" w:dyaOrig="6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8.4pt" o:ole="">
            <v:imagedata r:id="rId5" o:title=""/>
          </v:shape>
          <o:OLEObject Type="Embed" ProgID="Visio.Drawing.15" ShapeID="_x0000_i1025" DrawAspect="Content" ObjectID="_1641715563" r:id="rId6"/>
        </w:object>
      </w:r>
    </w:p>
    <w:p w:rsidR="0076542E" w:rsidRDefault="0076542E">
      <w:pPr>
        <w:spacing w:after="160" w:line="259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76542E" w:rsidRPr="008F381C" w:rsidTr="005338B4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Pengecekan Vendor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Purchasing melakukan pengecekan data vendor yang akan dipakai. Apabila sudah ada maka tidak perlu membuat baru. Apabila belum ada maka perlu membuat baru.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lastRenderedPageBreak/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Data Vendor (Purchasing)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Purchasing akan mengisi data-data kelengkapan vendor, sesuai dengan template upload SAP didalam sistem.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Detail Vendor (Akunting)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76542E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Akunting akan mengisi data-data kelengkapan vendor, sesuai dengan template upload SAP didalam sistem.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Pendaftaran Vendor (automation)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Sistem akan mengirimkan data ke SAP.</w:t>
            </w:r>
          </w:p>
        </w:tc>
      </w:tr>
    </w:tbl>
    <w:p w:rsidR="0076542E" w:rsidRDefault="0076542E">
      <w:pPr>
        <w:spacing w:after="160" w:line="259" w:lineRule="auto"/>
        <w:jc w:val="left"/>
      </w:pPr>
    </w:p>
    <w:p w:rsidR="0076542E" w:rsidRDefault="0076542E" w:rsidP="0076542E">
      <w:pPr>
        <w:pStyle w:val="Heading2"/>
      </w:pPr>
      <w:bookmarkStart w:id="14" w:name="_Toc31096462"/>
      <w:r>
        <w:t>Master Material</w:t>
      </w:r>
      <w:bookmarkEnd w:id="14"/>
    </w:p>
    <w:p w:rsidR="0076542E" w:rsidRDefault="0076542E" w:rsidP="0076542E">
      <w:pPr>
        <w:pStyle w:val="Heading2"/>
        <w:numPr>
          <w:ilvl w:val="0"/>
          <w:numId w:val="0"/>
        </w:numPr>
        <w:ind w:left="576"/>
      </w:pPr>
    </w:p>
    <w:p w:rsidR="00AD16AC" w:rsidRDefault="00AD16AC" w:rsidP="0076542E">
      <w:r>
        <w:object w:dxaOrig="15865" w:dyaOrig="8101">
          <v:shape id="_x0000_i1026" type="#_x0000_t75" style="width:467.4pt;height:238.8pt" o:ole="">
            <v:imagedata r:id="rId7" o:title=""/>
          </v:shape>
          <o:OLEObject Type="Embed" ProgID="Visio.Drawing.15" ShapeID="_x0000_i1026" DrawAspect="Content" ObjectID="_1641715564" r:id="rId8"/>
        </w:object>
      </w:r>
    </w:p>
    <w:p w:rsidR="00AD16AC" w:rsidRDefault="00AD16AC" w:rsidP="007654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AD16AC" w:rsidRPr="008F381C" w:rsidTr="005338B4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AD16AC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Pengecekan Item (dept. terkait)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Dept. terkait melakukan pengecekan data material master yang akan dipakai. Apabila sudah ada maka tidak perlu membuat baru. Apabila belum ada maka perlu membuat baru.</w:t>
            </w:r>
          </w:p>
        </w:tc>
      </w:tr>
      <w:tr w:rsidR="00AD16AC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Data Material Master (dept. terkait)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Dept. terkait akan mengisi data-data kelengkapan material master, sesuai dengan template upload SAP didalam sistem.</w:t>
            </w:r>
          </w:p>
        </w:tc>
      </w:tr>
      <w:tr w:rsidR="00AD16AC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Pengecekan Item (purchasing)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Purchasing melakukan pengecekan kelengkapan data material master yang akan dipakai. Apabila sudah lengkap maka ke step selanjutnya (no.5). Apabila belum ada maka perlu dilengkapi (no.4).</w:t>
            </w:r>
          </w:p>
        </w:tc>
      </w:tr>
      <w:tr w:rsidR="00AD16AC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lastRenderedPageBreak/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Data Material Master (Purchasing)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Purchasing akan mengisi data-data kelengkapan material master, sesuai dengan template upload SAP didalam sistem.</w:t>
            </w:r>
          </w:p>
        </w:tc>
      </w:tr>
      <w:tr w:rsidR="00AD16AC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AD16AC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Detail Material Master (Akunting)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Akunting akan mengisi data-data kelengkapan material master, sesuai dengan template upload SAP didalam sistem.</w:t>
            </w:r>
          </w:p>
        </w:tc>
      </w:tr>
      <w:tr w:rsidR="00AD16AC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Pendaftaran Vendor (automation)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Sistem akan mengirimkan data ke SAP.</w:t>
            </w:r>
          </w:p>
        </w:tc>
      </w:tr>
    </w:tbl>
    <w:p w:rsidR="0097257B" w:rsidRDefault="0097257B" w:rsidP="0076542E"/>
    <w:p w:rsidR="008A7356" w:rsidRPr="008A7356" w:rsidRDefault="008A7356" w:rsidP="00E613A0">
      <w:pPr>
        <w:pStyle w:val="Heading2"/>
      </w:pPr>
      <w:bookmarkStart w:id="15" w:name="_Toc31096463"/>
      <w:r>
        <w:t>RN-PR</w:t>
      </w:r>
      <w:bookmarkEnd w:id="15"/>
    </w:p>
    <w:p w:rsidR="00982E14" w:rsidRDefault="00982E14"/>
    <w:p w:rsidR="00F64B81" w:rsidRDefault="008A7356">
      <w:r>
        <w:object w:dxaOrig="16201" w:dyaOrig="11329">
          <v:shape id="_x0000_i1027" type="#_x0000_t75" style="width:467.4pt;height:327pt" o:ole="">
            <v:imagedata r:id="rId9" o:title=""/>
          </v:shape>
          <o:OLEObject Type="Embed" ProgID="Visio.Drawing.15" ShapeID="_x0000_i1027" DrawAspect="Content" ObjectID="_1641715565" r:id="rId10"/>
        </w:object>
      </w:r>
    </w:p>
    <w:p w:rsidR="00F64B81" w:rsidRDefault="00F64B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F64B81" w:rsidRPr="008F381C" w:rsidTr="00DF1BA2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F64B81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Membuat RN capex/ consumable/ jasa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Admin setiap departemen membuat RN  capex/ consumable/ jasa.</w:t>
            </w:r>
          </w:p>
        </w:tc>
      </w:tr>
      <w:tr w:rsidR="00F64B81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Approval Dept. Head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Dept. Head melalukan approval terhadap RN yang telah dibuat oleh Admin departemen</w:t>
            </w:r>
            <w:r w:rsidR="00DF1BA2">
              <w:rPr>
                <w:rFonts w:cs="Calibri"/>
                <w:szCs w:val="22"/>
                <w:lang w:val="fi-FI"/>
              </w:rPr>
              <w:t>.</w:t>
            </w:r>
          </w:p>
        </w:tc>
      </w:tr>
      <w:tr w:rsidR="00F64B81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2322B8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Cek Stock Item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B8" w:rsidRPr="00CC13D2" w:rsidRDefault="002322B8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Admin DPJ melakukan cek stock didalam sistem, dan memastikan barang yang diminta sama dengan jumlah yang ada didalam stock.</w:t>
            </w:r>
          </w:p>
        </w:tc>
      </w:tr>
      <w:tr w:rsidR="00F64B81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2322B8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Good Issue (GI) Stock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2322B8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Admin DPJ melakukan Good Issue didalam sistem, apabila stock yang diminta memenuhi.</w:t>
            </w:r>
          </w:p>
        </w:tc>
      </w:tr>
      <w:tr w:rsidR="00F64B81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2322B8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Create PR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2322B8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Admin DPJ membuat PR berdasarkan RN yang dibuat oleh Requestor (Dept. Peminta), apabila stock yang ada tidak memenuhi. </w:t>
            </w:r>
          </w:p>
        </w:tc>
      </w:tr>
      <w:tr w:rsidR="00F64B81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DF1BA2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Approval DPJ Head &amp; Plant Head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DF1BA2" w:rsidP="008A7356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DPJ Head melalukan approval terhadap </w:t>
            </w:r>
            <w:r w:rsidR="008A7356">
              <w:rPr>
                <w:rFonts w:cs="Calibri"/>
                <w:szCs w:val="22"/>
                <w:lang w:val="fi-FI"/>
              </w:rPr>
              <w:t xml:space="preserve">PR </w:t>
            </w:r>
            <w:r>
              <w:rPr>
                <w:rFonts w:cs="Calibri"/>
                <w:szCs w:val="22"/>
                <w:lang w:val="fi-FI"/>
              </w:rPr>
              <w:t>yang te</w:t>
            </w:r>
            <w:r w:rsidR="008A7356">
              <w:rPr>
                <w:rFonts w:cs="Calibri"/>
                <w:szCs w:val="22"/>
                <w:lang w:val="fi-FI"/>
              </w:rPr>
              <w:t>lah dibuat oleh Admin DPJ setelah itu akan di Approve oleh Plant Head</w:t>
            </w:r>
            <w:r>
              <w:rPr>
                <w:rFonts w:cs="Calibri"/>
                <w:szCs w:val="22"/>
                <w:lang w:val="fi-FI"/>
              </w:rPr>
              <w:t>.</w:t>
            </w:r>
            <w:r w:rsidR="008A7356">
              <w:rPr>
                <w:rFonts w:cs="Calibri"/>
                <w:szCs w:val="22"/>
                <w:lang w:val="fi-FI"/>
              </w:rPr>
              <w:t xml:space="preserve"> Untuk departemen HRGA, Logistik, IT, dan RnD tidak ada approve Plant Head.</w:t>
            </w:r>
          </w:p>
        </w:tc>
      </w:tr>
      <w:tr w:rsidR="00F64B81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F64B81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8A7356" w:rsidP="008A7356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Approval C-Level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81" w:rsidRPr="00CC13D2" w:rsidRDefault="008A7356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C-Level akan melakukan approval apabila nilai PR yang dibuat termasuk golongan yang bernominal besar (nominalnya ditentukan dimaster data).</w:t>
            </w:r>
          </w:p>
        </w:tc>
      </w:tr>
    </w:tbl>
    <w:p w:rsidR="00F64B81" w:rsidRDefault="00F64B81"/>
    <w:p w:rsidR="008A7356" w:rsidRDefault="008A7356" w:rsidP="00E613A0">
      <w:pPr>
        <w:pStyle w:val="Heading2"/>
      </w:pPr>
      <w:bookmarkStart w:id="16" w:name="_Toc31096464"/>
      <w:r>
        <w:t>PR-PO</w:t>
      </w:r>
      <w:r w:rsidR="00AD16AC">
        <w:t xml:space="preserve"> (non-MRP)</w:t>
      </w:r>
      <w:bookmarkEnd w:id="16"/>
    </w:p>
    <w:p w:rsidR="008A7356" w:rsidRDefault="00635158" w:rsidP="008A7356">
      <w:r>
        <w:object w:dxaOrig="15865" w:dyaOrig="9516">
          <v:shape id="_x0000_i1028" type="#_x0000_t75" style="width:467.4pt;height:280.2pt" o:ole="">
            <v:imagedata r:id="rId11" o:title=""/>
          </v:shape>
          <o:OLEObject Type="Embed" ProgID="Visio.Drawing.15" ShapeID="_x0000_i1028" DrawAspect="Content" ObjectID="_1641715566" r:id="rId12"/>
        </w:object>
      </w:r>
    </w:p>
    <w:p w:rsidR="006D4FFA" w:rsidRDefault="006D4FFA" w:rsidP="008A73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6D4FFA" w:rsidRPr="008F381C" w:rsidTr="005C2E70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lastRenderedPageBreak/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6D4FFA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AC1E47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RN to PR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47" w:rsidRPr="00CC13D2" w:rsidRDefault="00AC1E47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PR akan di convert sesuai dengan yang telah dijelaskan pada flow sebelumnya. Data PR akan di tarik ke SAP secara otomatis setelah Approval PR telah selesai.</w:t>
            </w:r>
          </w:p>
        </w:tc>
      </w:tr>
      <w:tr w:rsidR="006D4FFA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Default="00AC1E47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Bidding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AC1E47" w:rsidP="00AC1E47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Akan dilakukan bidding jika diperlukan (untuk item-item yang bukan repeat order)</w:t>
            </w:r>
          </w:p>
        </w:tc>
      </w:tr>
      <w:tr w:rsidR="006D4FFA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AC1E47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Buat Quotation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C24B79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Dept. Purchasing, akan membuat Quotation berdasarkan PR yang dibuat oleh DPJ dan sistem akan mengirimkan email kepada vendor yang ditunjuk.</w:t>
            </w:r>
          </w:p>
        </w:tc>
      </w:tr>
      <w:tr w:rsidR="006D4FFA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C24B79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Isi Quotation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C24B79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Vendor yang menerima email akan mengisi Quotation sesuai dengan waktu yang telah ditentukan.</w:t>
            </w:r>
          </w:p>
        </w:tc>
      </w:tr>
      <w:tr w:rsidR="006D4FFA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C24B79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Pilih Vendor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C24B79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Purchasing berhak memilih vendor yang akan ditujuk sebagai supplier (untuk item-item yang repeat order, langsung menujuk vendor yang diinginkan tanpa harus bidding).</w:t>
            </w:r>
          </w:p>
        </w:tc>
      </w:tr>
      <w:tr w:rsidR="00C24B79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CC13D2" w:rsidRDefault="00C24B79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CC13D2" w:rsidRDefault="00C24B79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PR to PO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CC13D2" w:rsidRDefault="00C24B79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PO akan di convert sesuai dengan yang telah dijelaskan pada flow sebelumnya. Data PO akan di tarik ke SAP secara otomatis setelah Approval PO telah selesai.</w:t>
            </w:r>
          </w:p>
        </w:tc>
      </w:tr>
      <w:tr w:rsidR="00C24B79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CC13D2" w:rsidRDefault="00C24B79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CC13D2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Email O</w:t>
            </w:r>
            <w:r w:rsidR="00C24B79">
              <w:rPr>
                <w:rFonts w:cs="Calibri"/>
                <w:szCs w:val="22"/>
                <w:lang w:val="fi-FI"/>
              </w:rPr>
              <w:t xml:space="preserve">tomatis 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CC13D2" w:rsidRDefault="00C24B79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Sistem akan mengirimkan email berisikan Form PO yang telah dibuat ke pada vendor.</w:t>
            </w:r>
          </w:p>
        </w:tc>
      </w:tr>
      <w:tr w:rsidR="00C24B79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C24B79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GR Barang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GR PO akan dilakukan di sistem SAP. Lalu sistem akan mengirimkan emial kepada vendor, untuk input invoice dll.</w:t>
            </w:r>
          </w:p>
        </w:tc>
      </w:tr>
      <w:tr w:rsidR="00C24B79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Invoice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021C23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Setelah menerima email notifikasi PO sudah GR, maka vendor akan memasukkan data-data seperti: no. faktur, no. invoice, tanggal invoice dan tanggal faktur.</w:t>
            </w:r>
          </w:p>
        </w:tc>
      </w:tr>
      <w:tr w:rsidR="00C24B79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Verifikasi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021C23" w:rsidP="00021C23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Tim Finance akunting akan melakukan verifikasi tagihan yang sudah di input oleh vendor.</w:t>
            </w:r>
          </w:p>
        </w:tc>
      </w:tr>
      <w:tr w:rsidR="00C24B79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Default="00D464BC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2E726A" w:rsidRDefault="002E726A" w:rsidP="00C24B79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2E726A">
              <w:rPr>
                <w:rFonts w:cs="Calibri"/>
                <w:szCs w:val="22"/>
                <w:lang w:val="fi-FI"/>
              </w:rPr>
              <w:t>Approval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B79" w:rsidRPr="002E726A" w:rsidRDefault="002E726A" w:rsidP="00021C23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2E726A">
              <w:rPr>
                <w:rFonts w:cs="Calibri"/>
                <w:szCs w:val="22"/>
                <w:lang w:val="fi-FI"/>
              </w:rPr>
              <w:t>Finance akunting approve hasil verifikasi</w:t>
            </w:r>
            <w:r>
              <w:rPr>
                <w:rFonts w:cs="Calibri"/>
                <w:szCs w:val="22"/>
                <w:lang w:val="fi-FI"/>
              </w:rPr>
              <w:t xml:space="preserve"> yang telah dilakukan.</w:t>
            </w:r>
          </w:p>
        </w:tc>
      </w:tr>
      <w:tr w:rsidR="00635158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58" w:rsidRDefault="00635158" w:rsidP="00635158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58" w:rsidRPr="002E726A" w:rsidRDefault="002E726A" w:rsidP="00635158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Jurnal AP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58" w:rsidRPr="002E726A" w:rsidRDefault="002E726A" w:rsidP="002E726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Sistem akan melakukan posting ke SAP untuk terbentuk jurnal</w:t>
            </w:r>
            <w:r w:rsidR="00635158" w:rsidRPr="002E726A">
              <w:rPr>
                <w:rFonts w:cs="Calibri"/>
                <w:szCs w:val="22"/>
                <w:lang w:val="fi-FI"/>
              </w:rPr>
              <w:t>.</w:t>
            </w:r>
          </w:p>
        </w:tc>
      </w:tr>
      <w:tr w:rsidR="00635158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58" w:rsidRDefault="00635158" w:rsidP="00635158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58" w:rsidRDefault="00635158" w:rsidP="00635158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Run Payment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58" w:rsidRDefault="00635158" w:rsidP="00635158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Tim Finance akan melakukan run payment terhadap invoice yang akan dibayarkan,</w:t>
            </w:r>
          </w:p>
          <w:p w:rsidR="00635158" w:rsidRDefault="00635158" w:rsidP="00635158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Lalu supplier akan mendapatkan info status pembayaran, waktu pembayaran dan melalui bank apa tagihan dibayarkan.</w:t>
            </w:r>
          </w:p>
        </w:tc>
      </w:tr>
    </w:tbl>
    <w:p w:rsidR="006D4FFA" w:rsidRDefault="006D4FFA" w:rsidP="008A7356"/>
    <w:p w:rsidR="00F919D5" w:rsidRDefault="00F919D5" w:rsidP="00F919D5">
      <w:pPr>
        <w:pStyle w:val="Heading2"/>
      </w:pPr>
      <w:bookmarkStart w:id="17" w:name="_Toc31096465"/>
      <w:r>
        <w:lastRenderedPageBreak/>
        <w:t>PR-PO (MRP)</w:t>
      </w:r>
      <w:bookmarkEnd w:id="17"/>
    </w:p>
    <w:p w:rsidR="00F919D5" w:rsidRDefault="00A56482" w:rsidP="00F919D5">
      <w:r>
        <w:object w:dxaOrig="15865" w:dyaOrig="9516">
          <v:shape id="_x0000_i1031" type="#_x0000_t75" style="width:467.4pt;height:280.2pt" o:ole="">
            <v:imagedata r:id="rId13" o:title=""/>
          </v:shape>
          <o:OLEObject Type="Embed" ProgID="Visio.Drawing.15" ShapeID="_x0000_i1031" DrawAspect="Content" ObjectID="_1641715567" r:id="rId14"/>
        </w:object>
      </w:r>
      <w:bookmarkStart w:id="18" w:name="_GoBack"/>
      <w:bookmarkEnd w:id="18"/>
    </w:p>
    <w:p w:rsidR="002E726A" w:rsidRDefault="002E726A" w:rsidP="00F919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2E726A" w:rsidRPr="008F381C" w:rsidTr="005338B4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PR akan terbentuk otomatis dari MRP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PR akan terbentuk otomatis dari MRP SAP dan akan di tarik ke system untuk dilakukan approval oleh plant head.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Bidding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Akan dilakukan bidding jika diperlukan (untuk item-item yang bukan repeat order)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Buat Quotation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Dept. Purchasing, akan membuat Quotation berdasarkan PR yang dibuat oleh DPJ dan sistem akan mengirimkan email kepada vendor yang ditunjuk.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Isi Quotation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Vendor yang menerima email akan mengisi Quotation sesuai dengan waktu yang telah ditentukan.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Pilih Vendor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Purchasing berhak memilih vendor yang akan ditujuk sebagai supplier (untuk item-item yang repeat order, langsung menujuk vendor yang diinginkan tanpa harus bidding).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PR to PO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PO akan di convert sesuai dengan yang telah dijelaskan pada flow sebelumnya. Data PO akan di tarik ke SAP secara otomatis setelah Approval PO telah selesai.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Email Otomatis 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CC13D2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Sistem akan mengirimkan email berisikan Form PO yang telah dibuat ke pada vendor.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lastRenderedPageBreak/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GR Barang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GR PO akan dilakukan di sistem SAP. Lalu sistem akan mengirimkan emial kepada vendor, untuk input invoice dll.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Invoice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Setelah menerima email notifikasi PO sudah GR, maka vendor akan memasukkan data-data seperti: no. faktur, no. invoice, tanggal invoice dan tanggal faktur.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Verifikasi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Tim Finance akunting akan melakukan verifikasi tagihan yang sudah di input oleh vendor.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2E726A">
              <w:rPr>
                <w:rFonts w:cs="Calibri"/>
                <w:szCs w:val="22"/>
                <w:lang w:val="fi-FI"/>
              </w:rPr>
              <w:t>Approval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2E726A">
              <w:rPr>
                <w:rFonts w:cs="Calibri"/>
                <w:szCs w:val="22"/>
                <w:lang w:val="fi-FI"/>
              </w:rPr>
              <w:t>Finance akunting approve hasil verifikasi</w:t>
            </w:r>
            <w:r>
              <w:rPr>
                <w:rFonts w:cs="Calibri"/>
                <w:szCs w:val="22"/>
                <w:lang w:val="fi-FI"/>
              </w:rPr>
              <w:t xml:space="preserve"> yang telah dilakukan.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Jurnal AP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P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Sistem akan melakukan posting ke SAP untuk terbentuk jurnal</w:t>
            </w:r>
            <w:r w:rsidRPr="002E726A">
              <w:rPr>
                <w:rFonts w:cs="Calibri"/>
                <w:szCs w:val="22"/>
                <w:lang w:val="fi-FI"/>
              </w:rPr>
              <w:t>.</w:t>
            </w:r>
          </w:p>
        </w:tc>
      </w:tr>
      <w:tr w:rsidR="002E726A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Run Payment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Tim Finance akan melakukan run payment terhadap invoice yang akan dibayarkan,</w:t>
            </w:r>
          </w:p>
          <w:p w:rsidR="002E726A" w:rsidRDefault="002E726A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Lalu supplier akan mendapatkan info status pembayaran, waktu pembayaran dan melalui bank apa tagihan dibayarkan.</w:t>
            </w:r>
          </w:p>
        </w:tc>
      </w:tr>
    </w:tbl>
    <w:p w:rsidR="002E726A" w:rsidRPr="00F919D5" w:rsidRDefault="002E726A" w:rsidP="00F919D5"/>
    <w:sectPr w:rsidR="002E726A" w:rsidRPr="00F9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C3D51"/>
    <w:multiLevelType w:val="hybridMultilevel"/>
    <w:tmpl w:val="1FDE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77D42"/>
    <w:multiLevelType w:val="multilevel"/>
    <w:tmpl w:val="5A3E54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31C05E0"/>
    <w:multiLevelType w:val="multilevel"/>
    <w:tmpl w:val="1A3E1E3C"/>
    <w:lvl w:ilvl="0">
      <w:start w:val="1"/>
      <w:numFmt w:val="decimal"/>
      <w:pStyle w:val="ListNumber2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4432819"/>
    <w:multiLevelType w:val="hybridMultilevel"/>
    <w:tmpl w:val="BBFE73F0"/>
    <w:lvl w:ilvl="0" w:tplc="A53C71D6">
      <w:start w:val="5"/>
      <w:numFmt w:val="bullet"/>
      <w:lvlText w:val=""/>
      <w:lvlJc w:val="left"/>
      <w:pPr>
        <w:ind w:left="81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9803358"/>
    <w:multiLevelType w:val="hybridMultilevel"/>
    <w:tmpl w:val="EB1C5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0F"/>
    <w:rsid w:val="00021C23"/>
    <w:rsid w:val="000E07A4"/>
    <w:rsid w:val="000F1B0F"/>
    <w:rsid w:val="002322B8"/>
    <w:rsid w:val="002E726A"/>
    <w:rsid w:val="005C2E70"/>
    <w:rsid w:val="00635158"/>
    <w:rsid w:val="006D4FFA"/>
    <w:rsid w:val="0076542E"/>
    <w:rsid w:val="008A7356"/>
    <w:rsid w:val="0097257B"/>
    <w:rsid w:val="00982E14"/>
    <w:rsid w:val="00A56482"/>
    <w:rsid w:val="00AC1E47"/>
    <w:rsid w:val="00AD16AC"/>
    <w:rsid w:val="00C24B79"/>
    <w:rsid w:val="00D464BC"/>
    <w:rsid w:val="00DF1BA2"/>
    <w:rsid w:val="00E613A0"/>
    <w:rsid w:val="00E74360"/>
    <w:rsid w:val="00E903C3"/>
    <w:rsid w:val="00F64B81"/>
    <w:rsid w:val="00F81A0A"/>
    <w:rsid w:val="00F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A1CE0-4575-4F06-8FCB-3746A441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0F"/>
    <w:pPr>
      <w:spacing w:after="0" w:line="276" w:lineRule="auto"/>
      <w:jc w:val="both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B0F"/>
    <w:pPr>
      <w:numPr>
        <w:numId w:val="2"/>
      </w:numPr>
      <w:spacing w:before="240" w:after="240"/>
      <w:ind w:left="360" w:hanging="360"/>
      <w:outlineLvl w:val="0"/>
    </w:pPr>
    <w:rPr>
      <w:rFonts w:ascii="Arial" w:hAnsi="Arial"/>
      <w:b/>
      <w:color w:val="000080"/>
      <w:sz w:val="28"/>
      <w:szCs w:val="20"/>
      <w:lang w:val="de-DE"/>
    </w:rPr>
  </w:style>
  <w:style w:type="paragraph" w:styleId="Heading2">
    <w:name w:val="heading 2"/>
    <w:basedOn w:val="ListNumber2"/>
    <w:next w:val="Normal"/>
    <w:link w:val="Heading2Char"/>
    <w:uiPriority w:val="9"/>
    <w:qFormat/>
    <w:rsid w:val="000F1B0F"/>
    <w:pPr>
      <w:keepNext/>
      <w:numPr>
        <w:ilvl w:val="1"/>
        <w:numId w:val="2"/>
      </w:numPr>
      <w:spacing w:before="240" w:after="240"/>
      <w:outlineLvl w:val="1"/>
    </w:pPr>
    <w:rPr>
      <w:rFonts w:ascii="Arial" w:hAnsi="Arial" w:cs="Arial"/>
      <w:b/>
      <w:bCs/>
      <w:iCs/>
      <w:color w:val="000080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1B0F"/>
    <w:pPr>
      <w:numPr>
        <w:ilvl w:val="2"/>
        <w:numId w:val="2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  <w:outlineLvl w:val="2"/>
    </w:pPr>
    <w:rPr>
      <w:rFonts w:ascii="Arial" w:hAnsi="Arial"/>
      <w:b/>
      <w:sz w:val="20"/>
      <w:szCs w:val="20"/>
      <w:lang w:val="de-DE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1B0F"/>
    <w:pPr>
      <w:numPr>
        <w:ilvl w:val="3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120"/>
      <w:outlineLvl w:val="3"/>
    </w:pPr>
    <w:rPr>
      <w:rFonts w:ascii="Arial" w:hAnsi="Arial"/>
      <w:b/>
      <w:color w:val="800000"/>
      <w:sz w:val="20"/>
      <w:szCs w:val="20"/>
      <w:lang w:val="de-DE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1B0F"/>
    <w:pPr>
      <w:numPr>
        <w:ilvl w:val="4"/>
        <w:numId w:val="2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4"/>
    </w:pPr>
    <w:rPr>
      <w:rFonts w:ascii="Arial" w:hAnsi="Arial"/>
      <w:b/>
      <w:sz w:val="20"/>
      <w:szCs w:val="20"/>
      <w:lang w:val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1B0F"/>
    <w:pPr>
      <w:numPr>
        <w:ilvl w:val="5"/>
        <w:numId w:val="2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5"/>
    </w:pPr>
    <w:rPr>
      <w:rFonts w:ascii="Arial" w:hAnsi="Arial"/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1B0F"/>
    <w:pPr>
      <w:numPr>
        <w:ilvl w:val="6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6"/>
    </w:pPr>
    <w:rPr>
      <w:rFonts w:ascii="Arial" w:hAnsi="Arial"/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0F1B0F"/>
    <w:pPr>
      <w:numPr>
        <w:ilvl w:val="7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7"/>
    </w:pPr>
    <w:rPr>
      <w:rFonts w:ascii="Arial" w:hAnsi="Arial"/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1B0F"/>
    <w:pPr>
      <w:numPr>
        <w:ilvl w:val="8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8"/>
    </w:pPr>
    <w:rPr>
      <w:rFonts w:ascii="Arial" w:hAnsi="Arial"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B0F"/>
    <w:rPr>
      <w:rFonts w:ascii="Arial" w:eastAsia="Times New Roman" w:hAnsi="Arial" w:cs="Times New Roman"/>
      <w:b/>
      <w:color w:val="000080"/>
      <w:sz w:val="28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0F1B0F"/>
    <w:rPr>
      <w:rFonts w:ascii="Arial" w:eastAsia="Times New Roman" w:hAnsi="Arial" w:cs="Arial"/>
      <w:b/>
      <w:bCs/>
      <w:iCs/>
      <w:color w:val="00008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B0F"/>
    <w:rPr>
      <w:rFonts w:ascii="Arial" w:eastAsia="Times New Roman" w:hAnsi="Arial" w:cs="Times New Roman"/>
      <w:b/>
      <w:sz w:val="20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0F1B0F"/>
    <w:rPr>
      <w:rFonts w:ascii="Arial" w:eastAsia="Times New Roman" w:hAnsi="Arial" w:cs="Times New Roman"/>
      <w:b/>
      <w:color w:val="800000"/>
      <w:sz w:val="20"/>
      <w:szCs w:val="20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rsid w:val="000F1B0F"/>
    <w:rPr>
      <w:rFonts w:ascii="Arial" w:eastAsia="Times New Roman" w:hAnsi="Arial" w:cs="Times New Roman"/>
      <w:b/>
      <w:sz w:val="20"/>
      <w:szCs w:val="20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rsid w:val="000F1B0F"/>
    <w:rPr>
      <w:rFonts w:ascii="Arial" w:eastAsia="Times New Roman" w:hAnsi="Arial" w:cs="Times New Roman"/>
      <w:i/>
      <w:sz w:val="20"/>
      <w:szCs w:val="20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rsid w:val="000F1B0F"/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Heading8Char">
    <w:name w:val="Heading 8 Char"/>
    <w:basedOn w:val="DefaultParagraphFont"/>
    <w:link w:val="Heading8"/>
    <w:rsid w:val="000F1B0F"/>
    <w:rPr>
      <w:rFonts w:ascii="Arial" w:eastAsia="Times New Roman" w:hAnsi="Arial" w:cs="Times New Roman"/>
      <w:i/>
      <w:sz w:val="20"/>
      <w:szCs w:val="20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rsid w:val="000F1B0F"/>
    <w:rPr>
      <w:rFonts w:ascii="Arial" w:eastAsia="Times New Roman" w:hAnsi="Arial" w:cs="Times New Roman"/>
      <w:i/>
      <w:sz w:val="18"/>
      <w:szCs w:val="20"/>
      <w:lang w:val="de-DE"/>
    </w:rPr>
  </w:style>
  <w:style w:type="paragraph" w:styleId="NormalWeb">
    <w:name w:val="Normal (Web)"/>
    <w:basedOn w:val="Normal"/>
    <w:uiPriority w:val="99"/>
    <w:unhideWhenUsed/>
    <w:rsid w:val="000F1B0F"/>
    <w:pPr>
      <w:spacing w:before="100" w:beforeAutospacing="1" w:after="100" w:afterAutospacing="1"/>
    </w:pPr>
    <w:rPr>
      <w:lang w:val="id-ID" w:eastAsia="id-ID"/>
    </w:rPr>
  </w:style>
  <w:style w:type="paragraph" w:customStyle="1" w:styleId="TableText">
    <w:name w:val="Table Text"/>
    <w:basedOn w:val="BodyText"/>
    <w:rsid w:val="000F1B0F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sz w:val="20"/>
      <w:szCs w:val="20"/>
    </w:rPr>
  </w:style>
  <w:style w:type="character" w:styleId="Hyperlink">
    <w:name w:val="Hyperlink"/>
    <w:uiPriority w:val="99"/>
    <w:unhideWhenUsed/>
    <w:rsid w:val="000F1B0F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F1B0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B0F"/>
    <w:pPr>
      <w:keepNext/>
      <w:keepLines/>
      <w:spacing w:after="0" w:line="254" w:lineRule="auto"/>
      <w:ind w:left="0" w:firstLine="0"/>
      <w:outlineLvl w:val="9"/>
    </w:pPr>
    <w:rPr>
      <w:rFonts w:ascii="Calibri Light" w:hAnsi="Calibri Light"/>
      <w:b w:val="0"/>
      <w:color w:val="2E74B5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rsid w:val="000F1B0F"/>
    <w:pPr>
      <w:ind w:left="240"/>
    </w:pPr>
  </w:style>
  <w:style w:type="paragraph" w:styleId="ListParagraph">
    <w:name w:val="List Paragraph"/>
    <w:basedOn w:val="Normal"/>
    <w:uiPriority w:val="34"/>
    <w:qFormat/>
    <w:rsid w:val="000F1B0F"/>
    <w:pPr>
      <w:ind w:left="720"/>
    </w:pPr>
  </w:style>
  <w:style w:type="paragraph" w:styleId="ListNumber2">
    <w:name w:val="List Number 2"/>
    <w:basedOn w:val="Normal"/>
    <w:uiPriority w:val="99"/>
    <w:semiHidden/>
    <w:unhideWhenUsed/>
    <w:rsid w:val="000F1B0F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F1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1B0F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IT-Yunan</dc:creator>
  <cp:keywords/>
  <dc:description/>
  <cp:lastModifiedBy>IT-Yunan</cp:lastModifiedBy>
  <cp:revision>10</cp:revision>
  <dcterms:created xsi:type="dcterms:W3CDTF">2020-01-27T07:14:00Z</dcterms:created>
  <dcterms:modified xsi:type="dcterms:W3CDTF">2020-01-28T04:20:00Z</dcterms:modified>
</cp:coreProperties>
</file>