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b/>
          <w:color w:val="1F497D"/>
          <w:sz w:val="44"/>
        </w:rPr>
        <w:t>Metodologias Avançadas para Construção de Corpora de Instrução e Raciocínio</w:t>
      </w:r>
    </w:p>
    <w:p>
      <w:pPr>
        <w:spacing w:after="480"/>
      </w:pPr>
      <w:r>
        <w:rPr>
          <w:i/>
          <w:color w:val="595959"/>
          <w:sz w:val="26"/>
        </w:rPr>
        <w:t>Framework de Engenharia de Dados Aplicado ao Benchmark StereoSet PT via Pipelines Híbridos (M1 e M4)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1. Introdução Geral: O Paradigma de Alinhamento de Modelos</w:t>
      </w:r>
    </w:p>
    <w:p>
      <w:r>
        <w:t>A evolução dos grandes modelos de linguagem (LLMs) consolidou o entendimento de que a fase de pré-treinamento, embora responsável por construir a base de conhecimento enciclopédico e competência linguística do modelo, é insuficiente para torná-lo útil e seguro em interações reais. O alinhamento subsequente, tradicionalmente conduzido por ajuste fino supervisionado (SFT) e aprendizado por reforço com feedback humano (RLHF), atua como o mecanismo de calibração que direciona esse potencial bruto para o cumprimento de instruções específicas e a execução de cadeias complexas de raciocínio lógico.</w:t>
      </w:r>
    </w:p>
    <w:p>
      <w:r>
        <w:t>Historicamente, as primeiras tentativas de SFT baseavam-se na conversão em massa de bases de dados acadêmicas ou no agrupamento de logs de conversação sem critérios rígidos de validação. Contudo, pesquisas recentes indicam que o volume bruto de dados é frequentemente superado pela pureza semântica, pela diversidade de estruturas e pela densidade informacional de amostras selecionadas. Esse princípio estabelece que corpora de alta qualidade, quando construídos de forma estruturada, reduzem drasticamente a necessidade de computação extensiva no ajuste fino, ao mesmo tempo que mitigam problemas recorrentes como a degradação de competências de base e a alucinação factual.</w:t>
      </w:r>
    </w:p>
    <w:p>
      <w:r>
        <w:t>Quando o objetivo transita do mero acompanhamento de estilo conversacional para o desenvolvimento de capacidades de raciocínio analítico (conhecido como comportamento de Sistema 2), o design do corpus torna-se ainda mais crítico. O modelo não deve apenas associar um prompt a uma resposta direta; ele precisa internalizar trajetórias logicamente ordenadas, avaliar caminhos alternativos e validar premissas antes da dedução final. No contexto do português brasileiro, esse desafio é ampliado pela escassez de benchmarks nativos robustos e pela complexidade envolvida na transposição de dados globais sem a perda de nuances socioculturais e semânticas essenciais.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97D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333333"/>
                <w:sz w:val="21"/>
              </w:rPr>
              <w:t>Resumo Executivo - Área de Dados: O alinhamento focado em raciocínio exige a transição de formatos simples (pergunta-resposta) para estruturas multifásicas que documentam o processo de dedução lógica. A curadoria estratégica supera a escala massiva na prevenção de vieses e no desenvolvimento estável de capacidades analíticas.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2. Taxonomia e Sistematização de Métodos na Literatura Recente</w:t>
      </w:r>
    </w:p>
    <w:p>
      <w:r>
        <w:t>A literatura especializada descreve caminhos metodológicos distintos para a aquisição e estruturação de dados de instrução e raciocínio. Cada abordagem impõe compromissos específicos entre escalabilidade computacional, custo de supervisão humana e integridade dos dados produzidos. Para fundamentar a análise, os cinco métodos estruturais dominantes na literatura atual são sistematizados na tabela abaixo, desenhada para permitir uma leitura horizontal comparativa direta das abordagens.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497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168"/>
            <w:shd w:val="clear" w:color="auto" w:fill="1F497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Mecanismo Operacional</w:t>
            </w:r>
          </w:p>
        </w:tc>
        <w:tc>
          <w:tcPr>
            <w:tcW w:type="dxa" w:w="2160"/>
            <w:shd w:val="clear" w:color="auto" w:fill="1F497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Modelos &amp; Referências Base</w:t>
            </w:r>
          </w:p>
        </w:tc>
        <w:tc>
          <w:tcPr>
            <w:tcW w:type="dxa" w:w="2592"/>
            <w:shd w:val="clear" w:color="auto" w:fill="1F497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Trade-Offs Principais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M1. Curadoria e Templating Humano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Mapeamento programático de datasets clássicos de NLP ou escrita direta de amostras por especialistas usando gabaritos estruturados de prompt/resposta.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FLAN (Wei et al., 2021)</w:t>
              <w:br/>
              <w:t>T0 (Sanh et al., 2022)</w:t>
              <w:br/>
              <w:t>LIMA (Zhou et al., 2023)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Vantagem: Máxima precisão semântica e controle de viés.</w:t>
              <w:br/>
              <w:t>Limitação: Baixa escalabilidade e alto custo financeiro.</w:t>
            </w:r>
          </w:p>
        </w:tc>
      </w:tr>
      <w:tr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M2. Self-Instruct (Sintese em Massa)</w:t>
            </w:r>
          </w:p>
        </w:tc>
        <w:tc>
          <w:tcPr>
            <w:tcW w:type="dxa" w:w="3168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Geração puramente sintética e recursiva onde um modelo 'professor' (ex: GPT-4) expande um pequeno conjunto semente de tarefas manuscritas.</w:t>
            </w:r>
          </w:p>
        </w:tc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Alpaca (Taori et al., 2023)</w:t>
              <w:br/>
              <w:t>Vicuna (Chiang et al., 2023)</w:t>
              <w:br/>
              <w:t>Wang et al. (2022)</w:t>
            </w:r>
          </w:p>
        </w:tc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Vantagem: Geração massiva com custo operacional nulo.</w:t>
              <w:br/>
              <w:t>Limitação: Risco de colapso de modo e imitação de erros.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M3. Evolução de Complexidade (Evol-Instruct)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Reescrita automática de instruções simples por meio de LLMs instruídos a injetar restrições cognitivas, complexidade lógica ou aprofundamento conceitual.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WizardLM (Xu et al., 2023)</w:t>
              <w:br/>
              <w:t>WizardMath (Luo et al., 2024)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Vantagem: Cria dados altamente desafiadores para o modelo.</w:t>
              <w:br/>
              <w:t>Limitação: Dependência severa de engenharia de prompt restrita.</w:t>
            </w:r>
          </w:p>
        </w:tc>
      </w:tr>
      <w:tr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M4. Bootstrapping de Raciocínio (STaR)</w:t>
            </w:r>
          </w:p>
        </w:tc>
        <w:tc>
          <w:tcPr>
            <w:tcW w:type="dxa" w:w="3168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O modelo gera justificativas intermediárias (Chain-of-Thought) para problemas com gabarito conhecido; apenas caminhos que atingem a resposta correta são retidos.</w:t>
            </w:r>
          </w:p>
        </w:tc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STaR (Zelikman et al., 2022)</w:t>
              <w:br/>
              <w:t>Orca (Mukherjee et al., 2023)</w:t>
            </w:r>
          </w:p>
        </w:tc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Vantagem: Filtra explicações errôneas via validação objetiva.</w:t>
              <w:br/>
              <w:t>Limitação: Restrito a domínios com respostas exatas verificáveis.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M5. Retrotradução de Instruções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Uso de textos corporativos estáveis coletados da web, em que um modelo atua reversamente para deduzir qual prompt geraria aquele conteúdo exato.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Humpback (Li et al., 2023)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80"/>
              <w:jc w:val="left"/>
            </w:pPr>
            <w:r>
              <w:rPr>
                <w:rFonts w:ascii="Arial" w:hAnsi="Arial"/>
                <w:sz w:val="19"/>
              </w:rPr>
              <w:t>Vantagem: Alinhamento baseado em dados humanos orgânicos.</w:t>
              <w:br/>
              <w:t>Limitação: Depende da qualidade e clareza da base web coletada.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3. O Pipeline Híbrido Proposto: Integração Sequencial M1 -&gt; M4</w:t>
      </w:r>
    </w:p>
    <w:p>
      <w:r>
        <w:t>Para o desenvolvimento de competências de raciocínio voltadas à identificação e mitigação de vieses no português brasileiro, a aplicação isolada de um único método da taxonomia mostra-se ineficaz. A estratégia ideal consiste na execução de um pipeline sequencial e acoplado que conecta o Método 1 (Curadoria e Templating Humano) ao Método 4 (Bootstrapping de Raciocínio / STaR), tomando como insumo base os dados curados e validados do StereoSet PT.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E75B6"/>
          <w:sz w:val="26"/>
        </w:rPr>
        <w:t>3.1 Fase 1: Instanciação Estruturada do Método 1 (Curadoria e Templating)</w:t>
      </w:r>
    </w:p>
    <w:p>
      <w:r>
        <w:t>O benchmark StereoSet original não foi desenhado como um corpus de instrução, mas sim como um mecanismo de teste de preenchimento de lacunas (*masked language modeling*) estruturado para medir probabilidades logarítmicas de sentenças concorrentes. Portanto, os dados brutos não podem ser injetados diretamente em um pipeline de ajuste fino conversacional. A primeira fase exige a reestruturação das tuplas e metadados contidos no JSON traduzido e curado — aproveitando o padrão-ouro de 25% validado manualmente — transformando-os em interações explícitas em linguagem natural.</w:t>
      </w:r>
    </w:p>
    <w:p>
      <w:r>
        <w:t>Essa conversão é realizada por meio de roteiros determinísticos de injeção de variáveis, gerando duas classes fundamentais de dados de instrução:</w:t>
      </w:r>
    </w:p>
    <w:p>
      <w:pPr>
        <w:pStyle w:val="ListBullet"/>
        <w:spacing w:after="40"/>
      </w:pPr>
      <w:r>
        <w:rPr>
          <w:b/>
        </w:rPr>
        <w:t xml:space="preserve">Templates de Múltipla Escolha (Foco em Discriminação): </w:t>
      </w:r>
      <w:r>
        <w:t>O prompt apresenta um contexto ambíguo extraído do JSON e solicita ao modelo que identifique, dentre opções rotuladas, qual alternativa introduz um viés estereotipado (ou anti-estereotipado, a depender do objetivo do alinhamento), mapeando a resposta esperada (*target*) para o identificador correto.</w:t>
      </w:r>
    </w:p>
    <w:p>
      <w:pPr>
        <w:pStyle w:val="ListBullet"/>
        <w:spacing w:after="120"/>
      </w:pPr>
      <w:r>
        <w:rPr>
          <w:b/>
        </w:rPr>
        <w:t xml:space="preserve">Templates de Geração Aberta (Foco em Produção Controlada): </w:t>
      </w:r>
      <w:r>
        <w:t>O prompt fornece uma sentença semente e instrui explicitamente o modelo a construir continuações pareadas, em que uma represente o viés demográfico/cultural sob análise e a outra represente a quebra ativa desse estereótipo.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E75B6"/>
          <w:sz w:val="26"/>
        </w:rPr>
        <w:t>3.2 Fase 2: Instanciação do Método 4 (Bootstrapping de Raciocínio via STaR)</w:t>
      </w:r>
    </w:p>
    <w:p>
      <w:r>
        <w:t>Embora os templates estruturados criados na Fase 1 estabeleçam uma base sólida para o seguimento de instruções, eles ainda sofrem de uma limitação severa: fornecem apenas o par instrução-alvo (ex: 'Alternativa A'). O treinamento direto sobre essa estrutura ensina o modelo a mimetizar a seleção de respostas, mas falha em consolidar os mecanismos de análise semântica e contextual necessários para compreender o viés.</w:t>
      </w:r>
    </w:p>
    <w:p>
      <w:r>
        <w:t>A transição para um corpus de raciocínio legítimo ocorre com a introdução do Método 4 (STaR). O pipeline opera através de um mecanismo de verificação lógica em três etapas:</w:t>
      </w:r>
    </w:p>
    <w:p>
      <w:pPr>
        <w:pStyle w:val="ListNumber"/>
        <w:spacing w:after="40"/>
      </w:pPr>
      <w:r>
        <w:t xml:space="preserve">1. Geração de Justificativa (*Chain-of-Thought*): </w:t>
      </w:r>
      <w:r>
        <w:t>Os prompts estruturados da Fase 1 são encaminhados a um modelo de fronteira (ex: GPT-4o ou Claude 3.5 Sonnet). O modelo é instruído explicitamente a externalizar toda a sua cadeia de deduções e análises linguísticas antes de emitir o veredito final.</w:t>
      </w:r>
    </w:p>
    <w:p>
      <w:pPr>
        <w:pStyle w:val="ListNumber"/>
        <w:spacing w:after="40"/>
      </w:pPr>
      <w:r>
        <w:t xml:space="preserve">2. Verificação de Consistência por Regra: </w:t>
      </w:r>
      <w:r>
        <w:t>O pipeline de automação captura a resposta final gerada pelo modelo professor e a confronta programaticamente com os metadados do StereoSet PT original. Se a opção ou texto gerado convergir perfeitamente com o gabarito curado, a amostra avança para a próxima etapa.</w:t>
      </w:r>
    </w:p>
    <w:p>
      <w:pPr>
        <w:pStyle w:val="ListNumber"/>
        <w:spacing w:after="120"/>
      </w:pPr>
      <w:r>
        <w:t xml:space="preserve">3. Filtragem e Prunagem: </w:t>
      </w:r>
      <w:r>
        <w:t>Caso o modelo professor apresente uma resposta errada ou incoerente com o gabarito, a trajetória inteira é sumariamente descartada do corpus final, eliminando alucinações e justificativas espúrias.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97D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333333"/>
                <w:sz w:val="21"/>
              </w:rPr>
              <w:t>Resumo Técnico do Pipeline Híbrido:</w:t>
              <w:br/>
              <w:t>Input: JSON Estruturado do StereoSet PT -&gt; Método 1 (Geração de Prompts via Roteiros) -&gt; Método 4 (Execução CoT em Modelo de Fronteira) -&gt; Filtro de Validação de Gabarito (STaR) -&gt; Output: Corpus Final de Raciocínio Verificado (Instrução + Justificativa + Resposta).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4. Análise de Inadequação dos Métodos Concorrentes</w:t>
      </w:r>
    </w:p>
    <w:p>
      <w:r>
        <w:t>A escolha deliberada pela exclusão dos Métodos 2, 3 e 5 fundamenta-se nas restrições matemáticas e nos objetivos semânticos específicos do projeto StereoSet PT. Abaixo, detalham-se as razões pelas quais essas abordagens mostram-se tecnicamente inadequadas para este cenário:</w:t>
      </w:r>
    </w:p>
    <w:p>
      <w:pPr>
        <w:pStyle w:val="ListBullet"/>
        <w:spacing w:after="80"/>
      </w:pPr>
      <w:r>
        <w:rPr>
          <w:b/>
        </w:rPr>
        <w:t xml:space="preserve">Inadequação do Método 2 (Self-Instruct): </w:t>
      </w:r>
      <w:r>
        <w:t>O StereoSet baseia-se em um equilíbrio rigoroso de categorias e distribuições controladas entre sentenças estereotipadas, anti-estereotipadas e irrelevantes. Permitir que um LLM gere livremente novos tópicos e sementes sem amarras estruturais rompe o balanceamento estatístico do benchmark e dilui o controle sobre as variáveis demográficas adaptadas para o português.</w:t>
      </w:r>
    </w:p>
    <w:p>
      <w:pPr>
        <w:pStyle w:val="ListBullet"/>
        <w:spacing w:after="80"/>
      </w:pPr>
      <w:r>
        <w:rPr>
          <w:b/>
        </w:rPr>
        <w:t xml:space="preserve">Inadequação do Método 3 (Evol-Instruct): </w:t>
      </w:r>
      <w:r>
        <w:t>O aumento sintático de complexidade preconizado pelo Evol-Instruct (como a inserção de amarras gramaticais artificiais ou restrições estilísticas) é ortogonal ao problema do viés. O entendimento e a classificação de estereótipos são desafios de ordem essencialmente semântica, pragmática e cultural. Tornar o prompt sintaticamente complexo introduz ruído em vez de aprofundar a capacidade de raciocínio crítico sobre o viés.</w:t>
      </w:r>
    </w:p>
    <w:p>
      <w:pPr>
        <w:pStyle w:val="ListBullet"/>
        <w:spacing w:after="120"/>
      </w:pPr>
      <w:r>
        <w:rPr>
          <w:b/>
        </w:rPr>
        <w:t xml:space="preserve">Inadequação do Método 5 (Retrotradução): </w:t>
      </w:r>
      <w:r>
        <w:t>A retrotradução pressupõe a raspagem massiva de dados brutos da internet para posterior inferência de instruções. Essa estratégia ignora por completo o valor do conjunto StereoSet PT já traduzido e meticulosamente refinado, além de reinserir no pipeline dados web ruidosos e não controlados, comprometendo o rigor científico do experimento.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5. Implicações para o Cenário de NLP e Considerações de Escala</w:t>
      </w:r>
    </w:p>
    <w:p>
      <w:r>
        <w:t>A aplicação prática deste pipeline híbrido resulta em um corpus inédito e altamente especializado para a língua portuguesa. Ao capturar o rigor estrutural do StereoSet PT e enriquecê-lo com as trajetórias lógicas validadas pelo filtro STaR, preenche-se uma lacuna crítica no desenvolvimento de modelos nacionais. Esse corpus final atua diretamente sobre o comportamento de Sistema 2 dos modelos, forçando-os a documentar e avaliar o contexto cultural e linguístico que caracteriza o viés, em vez de simplesmente memorizar respostas superficiais.</w:t>
      </w:r>
    </w:p>
    <w:p>
      <w:r>
        <w:t>Adicionalmente, investigações recentes de leis de escala voltadas ao pós-treino (como os achados de Nimmaturi et al., 2026 e Tan et al., 2026) enfatizam que os ganhos de otimização em tarefas complexas dependem crucialmente da estabilidade das trajetórias fornecidas no início do ajuste fino. A introdução de um corpus em que 100% das explicações de raciocínio foram validadas e filtradas em relação a um padrão-ouro garante a eficiência do treinamento, mitigando problemas de desperdício computacional e pavimentando o caminho para o desenvolvimento de modelos de linguagem significativamente mais robustos, éticos e conscientes no ecossistema lusófono.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6. Referências Bibliográficas Consolidadas</w:t>
      </w:r>
    </w:p>
    <w:p>
      <w:pPr>
        <w:spacing w:after="80" w:line="276" w:lineRule="auto"/>
        <w:ind w:left="360" w:hanging="360"/>
      </w:pPr>
      <w:r>
        <w:rPr>
          <w:rFonts w:ascii="Arial" w:hAnsi="Arial"/>
          <w:sz w:val="20"/>
        </w:rPr>
        <w:t>DeepSeek-AI. (2025). DeepSeek-R1: Incentivizing Reasoning Capability in LLMs via Reinforcement Learning. arXiv preprint arXiv:2501.12948.</w:t>
      </w:r>
    </w:p>
    <w:p>
      <w:pPr>
        <w:spacing w:after="80" w:line="276" w:lineRule="auto"/>
        <w:ind w:left="360" w:hanging="360"/>
      </w:pPr>
      <w:r>
        <w:rPr>
          <w:rFonts w:ascii="Arial" w:hAnsi="Arial"/>
          <w:sz w:val="20"/>
        </w:rPr>
        <w:t>Li, X., Zhou, P., Chen, Y., et al. (2023). Self-Alignment with Instruction Backtranslation. arXiv preprint arXiv:2308.06259.</w:t>
      </w:r>
    </w:p>
    <w:p>
      <w:pPr>
        <w:spacing w:after="80" w:line="276" w:lineRule="auto"/>
        <w:ind w:left="360" w:hanging="360"/>
      </w:pPr>
      <w:r>
        <w:rPr>
          <w:rFonts w:ascii="Arial" w:hAnsi="Arial"/>
          <w:sz w:val="20"/>
        </w:rPr>
        <w:t>Luo, H., Sun, Q., Xu, C., et al. (2024). WizardMath: Empowering Mathematical Reasoning for Large Language Models via Evol-Instruct. ICLR 2024.</w:t>
      </w:r>
    </w:p>
    <w:p>
      <w:pPr>
        <w:spacing w:after="80" w:line="276" w:lineRule="auto"/>
        <w:ind w:left="360" w:hanging="360"/>
      </w:pPr>
      <w:r>
        <w:rPr>
          <w:rFonts w:ascii="Arial" w:hAnsi="Arial"/>
          <w:sz w:val="20"/>
        </w:rPr>
        <w:t>Mukherjee, S., Mitra, A., Ganesh, W., et al. (2023). Orca: Progressive Learning from Complex Explanation Traces of GPT-4. arXiv preprint arXiv:2306.02707.</w:t>
      </w:r>
    </w:p>
    <w:p>
      <w:pPr>
        <w:spacing w:after="80" w:line="276" w:lineRule="auto"/>
        <w:ind w:left="360" w:hanging="360"/>
      </w:pPr>
      <w:r>
        <w:rPr>
          <w:rFonts w:ascii="Arial" w:hAnsi="Arial"/>
          <w:sz w:val="20"/>
        </w:rPr>
        <w:t>Nimmaturi, D., et al. (2026). Predictive Scaling Laws for Efficient GRPO Training of Large Reasoning Models. arXiv preprint arXiv:2507.18014.</w:t>
      </w:r>
    </w:p>
    <w:p>
      <w:pPr>
        <w:spacing w:after="80" w:line="276" w:lineRule="auto"/>
        <w:ind w:left="360" w:hanging="360"/>
      </w:pPr>
      <w:r>
        <w:rPr>
          <w:rFonts w:ascii="Arial" w:hAnsi="Arial"/>
          <w:sz w:val="20"/>
        </w:rPr>
        <w:t>Sanh, V., Webson, A., Raffel, C., et al. (2022). Multitask Prompted Training Enables Zero-Shot Task Generalization. ICLR 2022.</w:t>
      </w:r>
    </w:p>
    <w:p>
      <w:pPr>
        <w:spacing w:after="80" w:line="276" w:lineRule="auto"/>
        <w:ind w:left="360" w:hanging="360"/>
      </w:pPr>
      <w:r>
        <w:rPr>
          <w:rFonts w:ascii="Arial" w:hAnsi="Arial"/>
          <w:sz w:val="20"/>
        </w:rPr>
        <w:t>Sun, S., et al. (2026). A Survey of Process Reward Models: From Outcome Signals to Process Supervisions. arXiv preprint arXiv:2510.08049.</w:t>
      </w:r>
    </w:p>
    <w:p>
      <w:pPr>
        <w:spacing w:after="80" w:line="276" w:lineRule="auto"/>
        <w:ind w:left="360" w:hanging="360"/>
      </w:pPr>
      <w:r>
        <w:rPr>
          <w:rFonts w:ascii="Arial" w:hAnsi="Arial"/>
          <w:sz w:val="20"/>
        </w:rPr>
        <w:t>Tan, Z., et al. (2026). Scaling Behaviors of LLM Reinforcement Learning Post-Training. arXiv preprint arXiv:2509.25300.</w:t>
      </w:r>
    </w:p>
    <w:p>
      <w:pPr>
        <w:spacing w:after="80" w:line="276" w:lineRule="auto"/>
        <w:ind w:left="360" w:hanging="360"/>
      </w:pPr>
      <w:r>
        <w:rPr>
          <w:rFonts w:ascii="Arial" w:hAnsi="Arial"/>
          <w:sz w:val="20"/>
        </w:rPr>
        <w:t>Taori, R., Gulrajani, I., Zhang, C., et al. (2023). Stanford Alpaca: An Instruction-following LLaMA model. GitHub repository.</w:t>
      </w:r>
    </w:p>
    <w:p>
      <w:pPr>
        <w:spacing w:after="80" w:line="276" w:lineRule="auto"/>
        <w:ind w:left="360" w:hanging="360"/>
      </w:pPr>
      <w:r>
        <w:rPr>
          <w:rFonts w:ascii="Arial" w:hAnsi="Arial"/>
          <w:sz w:val="20"/>
        </w:rPr>
        <w:t>Wang, Y., Kordi, Y., Mishra, S., et al. (2022). Self-Instruct: Aligning Language Models with Self-Generated Instructions. ACL 2023.</w:t>
      </w:r>
    </w:p>
    <w:p>
      <w:pPr>
        <w:spacing w:after="80" w:line="276" w:lineRule="auto"/>
        <w:ind w:left="360" w:hanging="360"/>
      </w:pPr>
      <w:r>
        <w:rPr>
          <w:rFonts w:ascii="Arial" w:hAnsi="Arial"/>
          <w:sz w:val="20"/>
        </w:rPr>
        <w:t>Wei, J., Bosma, M., Zhao, V., et al. (2021). Finetuned Language Models are Zero-Shot Learners. arXiv preprint arXiv:2109.01652.</w:t>
      </w:r>
    </w:p>
    <w:p>
      <w:pPr>
        <w:spacing w:after="80" w:line="276" w:lineRule="auto"/>
        <w:ind w:left="360" w:hanging="360"/>
      </w:pPr>
      <w:r>
        <w:rPr>
          <w:rFonts w:ascii="Arial" w:hAnsi="Arial"/>
          <w:sz w:val="20"/>
        </w:rPr>
        <w:t>Xu, C., Sun, Q., Wen, J., et al. (2023). WizardLM: Empowering Large Language Models to Follow Complex Instructions. ICLR 2023.</w:t>
      </w:r>
    </w:p>
    <w:p>
      <w:pPr>
        <w:spacing w:after="80" w:line="276" w:lineRule="auto"/>
        <w:ind w:left="360" w:hanging="360"/>
      </w:pPr>
      <w:r>
        <w:rPr>
          <w:rFonts w:ascii="Arial" w:hAnsi="Arial"/>
          <w:sz w:val="20"/>
        </w:rPr>
        <w:t>Zelikman, E., Wu, Y., Mu, J., &amp; Goodman, N. (2022). STaR: Bootstrapping Reasoning With Reasoning. Advances in Neural Information Processing Systems (NeurIPS 2022).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