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95959"/>
          <w:spacing w:val="60"/>
          <w:sz w:val="20"/>
          <w:szCs w:val="20"/>
        </w:rPr>
        <w:t xml:space="preserve">PRIVATE CREDIT MARKET MONITOR</w:t>
      </w:r>
    </w:p>
    <w:p>
      <w:pPr>
        <w:spacing w:after="40"/>
      </w:pPr>
      <w:r>
        <w:rPr>
          <w:rFonts w:ascii="Calibri" w:cs="Calibri" w:eastAsia="Calibri" w:hAnsi="Calibri"/>
          <w:b/>
          <w:bCs/>
          <w:color w:val="1F3864"/>
          <w:sz w:val="44"/>
          <w:szCs w:val="44"/>
        </w:rPr>
        <w:t xml:space="preserve">Quarterly Update — Issue 1</w:t>
      </w:r>
    </w:p>
    <w:p>
      <w:pPr>
        <w:spacing w:after="60"/>
      </w:pPr>
      <w:r>
        <w:rPr>
          <w:rFonts w:ascii="Calibri" w:cs="Calibri" w:eastAsia="Calibri" w:hAnsi="Calibri"/>
          <w:color w:val="595959"/>
          <w:sz w:val="24"/>
          <w:szCs w:val="24"/>
        </w:rPr>
        <w:t xml:space="preserve">September 2026  |  U.S. Banks &amp; U.S. Insurance</w:t>
      </w:r>
    </w:p>
    <w:p>
      <w:pPr>
        <w:spacing w:after="100"/>
      </w:pPr>
      <w:r>
        <w:rPr>
          <w:rFonts w:ascii="Calibri" w:cs="Calibri" w:eastAsia="Calibri" w:hAnsi="Calibri"/>
          <w:color w:val="595959"/>
          <w:sz w:val="19"/>
          <w:szCs w:val="19"/>
        </w:rPr>
        <w:t xml:space="preserve">Data as of: Banks — FR Y-9C </w:t>
      </w:r>
      <w:r>
        <w:rPr>
          <w:rFonts w:ascii="Calibri" w:cs="Calibri" w:eastAsia="Calibri" w:hAnsi="Calibri"/>
          <w:b/>
          <w:bCs/>
          <w:color w:val="595959"/>
          <w:sz w:val="19"/>
          <w:szCs w:val="19"/>
          <w:highlight w:val="yellow"/>
          <w:highlightCs w:val="yellow"/>
        </w:rPr>
        <w:t xml:space="preserve">Q2 2026</w:t>
      </w:r>
      <w:r>
        <w:rPr>
          <w:rFonts w:ascii="Calibri" w:cs="Calibri" w:eastAsia="Calibri" w:hAnsi="Calibri"/>
          <w:color w:val="595959"/>
          <w:sz w:val="19"/>
          <w:szCs w:val="19"/>
        </w:rPr>
        <w:t xml:space="preserve"> (filed August 2026)  |  Insurance — NAIC statutory filings YE2025, designation migration through </w:t>
      </w:r>
      <w:r>
        <w:rPr>
          <w:rFonts w:ascii="Calibri" w:cs="Calibri" w:eastAsia="Calibri" w:hAnsi="Calibri"/>
          <w:b/>
          <w:bCs/>
          <w:color w:val="595959"/>
          <w:sz w:val="19"/>
          <w:szCs w:val="19"/>
          <w:highlight w:val="yellow"/>
          <w:highlightCs w:val="yellow"/>
        </w:rPr>
        <w:t xml:space="preserve">2026Q2</w:t>
      </w:r>
    </w:p>
    <w:p>
      <w:pPr>
        <w:pBdr>
          <w:bottom w:val="single" w:color="1F3864" w:sz="12" w:space="1"/>
        </w:pBdr>
        <w:spacing w:after="160"/>
      </w:pPr>
    </w:p>
    <w:tbl>
      <w:tblPr>
        <w:tblW w:type="dxa" w:w="10080"/>
        <w:tblBorders>
          <w:top w:val="single" w:color="9DC3E6" w:sz="6"/>
          <w:left w:val="single" w:color="9DC3E6" w:sz="6"/>
          <w:bottom w:val="single" w:color="9DC3E6" w:sz="6"/>
          <w:right w:val="single" w:color="9DC3E6" w:sz="6"/>
          <w:insideH w:val="single" w:color="9DC3E6" w:sz="6"/>
          <w:insideV w:val="single" w:color="9DC3E6" w:sz="6"/>
        </w:tblBorders>
      </w:tblPr>
      <w:tblGrid>
        <w:gridCol w:w="10080"/>
      </w:tblGrid>
      <w:tr>
        <w:tc>
          <w:tcPr>
            <w:tcW w:type="dxa" w:w="10080"/>
            <w:shd w:fill="EAF1FB" w:color="auto" w:val="clear"/>
            <w:tcMar>
              <w:top w:type="dxa" w:w="140"/>
              <w:left w:type="dxa" w:w="200"/>
              <w:bottom w:type="dxa" w:w="140"/>
              <w:right w:type="dxa" w:w="200"/>
            </w:tcMar>
          </w:tcPr>
          <w:p>
            <w:pPr>
              <w:spacing w:after="60"/>
            </w:pPr>
            <w:r>
              <w:rPr>
                <w:rFonts w:ascii="Calibri" w:cs="Calibri" w:eastAsia="Calibri" w:hAnsi="Calibri"/>
                <w:b/>
                <w:bCs/>
                <w:color w:val="2E75B6"/>
                <w:sz w:val="20"/>
                <w:szCs w:val="20"/>
              </w:rPr>
              <w:t xml:space="preserve">使用说明（发送前删除本框）</w:t>
            </w:r>
          </w:p>
          <w:p>
            <w:pPr>
              <w:spacing w:after="0" w:line="264"/>
            </w:pPr>
            <w:r>
              <w:rPr>
                <w:rFonts w:ascii="Calibri" w:cs="Calibri" w:eastAsia="Calibri" w:hAnsi="Calibri"/>
                <w:b/>
                <w:bCs/>
                <w:color w:val="2E75B6"/>
                <w:sz w:val="19"/>
                <w:szCs w:val="19"/>
              </w:rPr>
              <w:t xml:space="preserve">黄色高亮</w:t>
            </w:r>
            <w:r>
              <w:rPr>
                <w:rFonts w:ascii="Calibri" w:cs="Calibri" w:eastAsia="Calibri" w:hAnsi="Calibri"/>
                <w:color w:val="2E75B6"/>
                <w:sz w:val="19"/>
                <w:szCs w:val="19"/>
              </w:rPr>
              <w:t xml:space="preserve"> = 需要你从 dashboard 填的数字（括号里的旧数只是参考，以刷新后的读数为准）。</w:t>
            </w:r>
            <w:r>
              <w:rPr>
                <w:rFonts w:ascii="Calibri" w:cs="Calibri" w:eastAsia="Calibri" w:hAnsi="Calibri"/>
                <w:b/>
                <w:bCs/>
                <w:color w:val="2E75B6"/>
                <w:sz w:val="19"/>
                <w:szCs w:val="19"/>
              </w:rPr>
              <w:t xml:space="preserve">蓝色斜体“填写提示”</w:t>
            </w:r>
            <w:r>
              <w:rPr>
                <w:rFonts w:ascii="Calibri" w:cs="Calibri" w:eastAsia="Calibri" w:hAnsi="Calibri"/>
                <w:color w:val="2E75B6"/>
                <w:sz w:val="19"/>
                <w:szCs w:val="19"/>
              </w:rPr>
              <w:t xml:space="preserve"> = 给你的操作说明，填完删掉。</w:t>
            </w:r>
            <w:r>
              <w:rPr>
                <w:rFonts w:ascii="Calibri" w:cs="Calibri" w:eastAsia="Calibri" w:hAnsi="Calibri"/>
                <w:b/>
                <w:bCs/>
                <w:color w:val="2E75B6"/>
                <w:sz w:val="19"/>
                <w:szCs w:val="19"/>
              </w:rPr>
              <w:t xml:space="preserve">灰色虚线框</w:t>
            </w:r>
            <w:r>
              <w:rPr>
                <w:rFonts w:ascii="Calibri" w:cs="Calibri" w:eastAsia="Calibri" w:hAnsi="Calibri"/>
                <w:color w:val="2E75B6"/>
                <w:sz w:val="19"/>
                <w:szCs w:val="19"/>
              </w:rPr>
              <w:t xml:space="preserve"> = 图表位置，从 Power BI 导出 PNG（View → 100%，右上角 … → Export data 旁的 Copy visual as image）贴入。其余英文正文可直接发，外部数据均已核对来源与日期。</w:t>
            </w:r>
          </w:p>
        </w:tc>
      </w:tr>
    </w:tbl>
    <w:p>
      <w:pPr>
        <w:spacing w:after="120"/>
      </w:pPr>
    </w:p>
    <w:p>
      <w:pPr>
        <w:pStyle w:val="Heading1"/>
        <w:spacing w:after="120" w:before="360"/>
      </w:pPr>
      <w:r>
        <w:t xml:space="preserve">In this issue</w:t>
      </w:r>
    </w:p>
    <w:p>
      <w:pPr>
        <w:spacing w:after="120" w:line="276"/>
      </w:pPr>
      <w:r>
        <w:rPr>
          <w:rFonts w:ascii="Calibri" w:cs="Calibri" w:eastAsia="Calibri" w:hAnsi="Calibri"/>
          <w:sz w:val="21"/>
          <w:szCs w:val="21"/>
        </w:rPr>
        <w:t xml:space="preserve">Welcome to the first edition of the Private Credit Market Monitor quarterly update. The Monitor tracks private credit exposure across S&amp;P Global Ratings' rated universe, drawing on the team's Power BI dashboards. Each issue has three parts: </w:t>
      </w:r>
      <w:r>
        <w:rPr>
          <w:rFonts w:ascii="Calibri" w:cs="Calibri" w:eastAsia="Calibri" w:hAnsi="Calibri"/>
          <w:b/>
          <w:bCs/>
          <w:sz w:val="21"/>
          <w:szCs w:val="21"/>
        </w:rPr>
        <w:t xml:space="preserve">(1)</w:t>
      </w:r>
      <w:r>
        <w:rPr>
          <w:rFonts w:ascii="Calibri" w:cs="Calibri" w:eastAsia="Calibri" w:hAnsi="Calibri"/>
          <w:sz w:val="21"/>
          <w:szCs w:val="21"/>
        </w:rPr>
        <w:t xml:space="preserve"> notable findings from the dashboards, </w:t>
      </w:r>
      <w:r>
        <w:rPr>
          <w:rFonts w:ascii="Calibri" w:cs="Calibri" w:eastAsia="Calibri" w:hAnsi="Calibri"/>
          <w:b/>
          <w:bCs/>
          <w:sz w:val="21"/>
          <w:szCs w:val="21"/>
        </w:rPr>
        <w:t xml:space="preserve">(2)</w:t>
      </w:r>
      <w:r>
        <w:rPr>
          <w:rFonts w:ascii="Calibri" w:cs="Calibri" w:eastAsia="Calibri" w:hAnsi="Calibri"/>
          <w:sz w:val="21"/>
          <w:szCs w:val="21"/>
        </w:rPr>
        <w:t xml:space="preserve"> market news and research related to those findings, and </w:t>
      </w:r>
      <w:r>
        <w:rPr>
          <w:rFonts w:ascii="Calibri" w:cs="Calibri" w:eastAsia="Calibri" w:hAnsi="Calibri"/>
          <w:b/>
          <w:bCs/>
          <w:sz w:val="21"/>
          <w:szCs w:val="21"/>
        </w:rPr>
        <w:t xml:space="preserve">(3)</w:t>
      </w:r>
      <w:r>
        <w:rPr>
          <w:rFonts w:ascii="Calibri" w:cs="Calibri" w:eastAsia="Calibri" w:hAnsi="Calibri"/>
          <w:sz w:val="21"/>
          <w:szCs w:val="21"/>
        </w:rPr>
        <w:t xml:space="preserve"> links worth bookmarking. Because this is the first issue, we also set out the baseline numbers and the methodology behind them; future issues will focus on what changed.</w:t>
      </w:r>
    </w:p>
    <w:p>
      <w:pPr>
        <w:pStyle w:val="ListParagraph"/>
        <w:numPr>
          <w:ilvl w:val="0"/>
          <w:numId w:val="2"/>
        </w:numPr>
        <w:spacing w:after="80" w:line="276"/>
      </w:pPr>
      <w:r>
        <w:rPr>
          <w:rFonts w:ascii="Calibri" w:cs="Calibri" w:eastAsia="Calibri" w:hAnsi="Calibri"/>
          <w:b/>
          <w:bCs/>
          <w:sz w:val="21"/>
          <w:szCs w:val="21"/>
        </w:rPr>
        <w:t xml:space="preserve">U.S. Banks:</w:t>
      </w:r>
      <w:r>
        <w:rPr>
          <w:rFonts w:ascii="Calibri" w:cs="Calibri" w:eastAsia="Calibri" w:hAnsi="Calibri"/>
          <w:sz w:val="21"/>
          <w:szCs w:val="21"/>
        </w:rPr>
        <w:t xml:space="preserve"> loans to non-depository financial institutions (NDFI) are $</w:t>
      </w:r>
      <w:r>
        <w:rPr>
          <w:rFonts w:ascii="Calibri" w:cs="Calibri" w:eastAsia="Calibri" w:hAnsi="Calibri"/>
          <w:b/>
          <w:bCs/>
          <w:sz w:val="21"/>
          <w:szCs w:val="21"/>
          <w:highlight w:val="yellow"/>
          <w:highlightCs w:val="yellow"/>
        </w:rPr>
        <w:t xml:space="preserve">1.53</w:t>
      </w:r>
      <w:r>
        <w:rPr>
          <w:rFonts w:ascii="Calibri" w:cs="Calibri" w:eastAsia="Calibri" w:hAnsi="Calibri"/>
          <w:sz w:val="21"/>
          <w:szCs w:val="21"/>
        </w:rPr>
        <w:t xml:space="preserve">T, or </w:t>
      </w:r>
      <w:r>
        <w:rPr>
          <w:rFonts w:ascii="Calibri" w:cs="Calibri" w:eastAsia="Calibri" w:hAnsi="Calibri"/>
          <w:b/>
          <w:bCs/>
          <w:sz w:val="21"/>
          <w:szCs w:val="21"/>
          <w:highlight w:val="yellow"/>
          <w:highlightCs w:val="yellow"/>
        </w:rPr>
        <w:t xml:space="preserve">15</w:t>
      </w:r>
      <w:r>
        <w:rPr>
          <w:rFonts w:ascii="Calibri" w:cs="Calibri" w:eastAsia="Calibri" w:hAnsi="Calibri"/>
          <w:sz w:val="21"/>
          <w:szCs w:val="21"/>
        </w:rPr>
        <w:t xml:space="preserve">% of the rated banks' loan book; the private credit proxy — loans to business credit intermediaries — is $</w:t>
      </w:r>
      <w:r>
        <w:rPr>
          <w:rFonts w:ascii="Calibri" w:cs="Calibri" w:eastAsia="Calibri" w:hAnsi="Calibri"/>
          <w:b/>
          <w:bCs/>
          <w:sz w:val="21"/>
          <w:szCs w:val="21"/>
          <w:highlight w:val="yellow"/>
          <w:highlightCs w:val="yellow"/>
        </w:rPr>
        <w:t xml:space="preserve">411</w:t>
      </w:r>
      <w:r>
        <w:rPr>
          <w:rFonts w:ascii="Calibri" w:cs="Calibri" w:eastAsia="Calibri" w:hAnsi="Calibri"/>
          <w:sz w:val="21"/>
          <w:szCs w:val="21"/>
        </w:rPr>
        <w:t xml:space="preserve">bn. NDFI lending has grown </w:t>
      </w:r>
      <w:r>
        <w:rPr>
          <w:rFonts w:ascii="Calibri" w:cs="Calibri" w:eastAsia="Calibri" w:hAnsi="Calibri"/>
          <w:b/>
          <w:bCs/>
          <w:sz w:val="21"/>
          <w:szCs w:val="21"/>
          <w:highlight w:val="yellow"/>
          <w:highlightCs w:val="yellow"/>
        </w:rPr>
        <w:t xml:space="preserve">X</w:t>
      </w:r>
      <w:r>
        <w:rPr>
          <w:rFonts w:ascii="Calibri" w:cs="Calibri" w:eastAsia="Calibri" w:hAnsi="Calibri"/>
          <w:sz w:val="21"/>
          <w:szCs w:val="21"/>
        </w:rPr>
        <w:t xml:space="preserve">x faster than total loans since </w:t>
      </w:r>
      <w:r>
        <w:rPr>
          <w:rFonts w:ascii="Calibri" w:cs="Calibri" w:eastAsia="Calibri" w:hAnsi="Calibri"/>
          <w:b/>
          <w:bCs/>
          <w:sz w:val="21"/>
          <w:szCs w:val="21"/>
          <w:highlight w:val="yellow"/>
          <w:highlightCs w:val="yellow"/>
        </w:rPr>
        <w:t xml:space="preserve">Q2 2024</w:t>
      </w:r>
      <w:r>
        <w:rPr>
          <w:rFonts w:ascii="Calibri" w:cs="Calibri" w:eastAsia="Calibri" w:hAnsi="Calibri"/>
          <w:sz w:val="21"/>
          <w:szCs w:val="21"/>
        </w:rPr>
        <w:t xml:space="preserve">.</w:t>
      </w:r>
    </w:p>
    <w:p>
      <w:pPr>
        <w:pStyle w:val="ListParagraph"/>
        <w:numPr>
          <w:ilvl w:val="0"/>
          <w:numId w:val="2"/>
        </w:numPr>
        <w:spacing w:after="80" w:line="276"/>
      </w:pPr>
      <w:r>
        <w:rPr>
          <w:rFonts w:ascii="Calibri" w:cs="Calibri" w:eastAsia="Calibri" w:hAnsi="Calibri"/>
          <w:b/>
          <w:bCs/>
          <w:sz w:val="21"/>
          <w:szCs w:val="21"/>
        </w:rPr>
        <w:t xml:space="preserve">U.S. Life Insurers:</w:t>
      </w:r>
      <w:r>
        <w:rPr>
          <w:rFonts w:ascii="Calibri" w:cs="Calibri" w:eastAsia="Calibri" w:hAnsi="Calibri"/>
          <w:sz w:val="21"/>
          <w:szCs w:val="21"/>
        </w:rPr>
        <w:t xml:space="preserve"> private placement bonds on Schedule D Part 1 total $</w:t>
      </w:r>
      <w:r>
        <w:rPr>
          <w:rFonts w:ascii="Calibri" w:cs="Calibri" w:eastAsia="Calibri" w:hAnsi="Calibri"/>
          <w:b/>
          <w:bCs/>
          <w:sz w:val="21"/>
          <w:szCs w:val="21"/>
          <w:highlight w:val="yellow"/>
          <w:highlightCs w:val="yellow"/>
        </w:rPr>
        <w:t xml:space="preserve">934</w:t>
      </w:r>
      <w:r>
        <w:rPr>
          <w:rFonts w:ascii="Calibri" w:cs="Calibri" w:eastAsia="Calibri" w:hAnsi="Calibri"/>
          <w:sz w:val="21"/>
          <w:szCs w:val="21"/>
        </w:rPr>
        <w:t xml:space="preserve">bn at YE2025, about </w:t>
      </w:r>
      <w:r>
        <w:rPr>
          <w:rFonts w:ascii="Calibri" w:cs="Calibri" w:eastAsia="Calibri" w:hAnsi="Calibri"/>
          <w:b/>
          <w:bCs/>
          <w:sz w:val="21"/>
          <w:szCs w:val="21"/>
          <w:highlight w:val="yellow"/>
          <w:highlightCs w:val="yellow"/>
        </w:rPr>
        <w:t xml:space="preserve">15</w:t>
      </w:r>
      <w:r>
        <w:rPr>
          <w:rFonts w:ascii="Calibri" w:cs="Calibri" w:eastAsia="Calibri" w:hAnsi="Calibri"/>
          <w:sz w:val="21"/>
          <w:szCs w:val="21"/>
        </w:rPr>
        <w:t xml:space="preserve">% of invested assets and </w:t>
      </w:r>
      <w:r>
        <w:rPr>
          <w:rFonts w:ascii="Calibri" w:cs="Calibri" w:eastAsia="Calibri" w:hAnsi="Calibri"/>
          <w:b/>
          <w:bCs/>
          <w:sz w:val="21"/>
          <w:szCs w:val="21"/>
          <w:highlight w:val="yellow"/>
          <w:highlightCs w:val="yellow"/>
        </w:rPr>
        <w:t xml:space="preserve">2.0</w:t>
      </w:r>
      <w:r>
        <w:rPr>
          <w:rFonts w:ascii="Calibri" w:cs="Calibri" w:eastAsia="Calibri" w:hAnsi="Calibri"/>
          <w:sz w:val="21"/>
          <w:szCs w:val="21"/>
        </w:rPr>
        <w:t xml:space="preserve">x capital &amp; surplus; </w:t>
      </w:r>
      <w:r>
        <w:rPr>
          <w:rFonts w:ascii="Calibri" w:cs="Calibri" w:eastAsia="Calibri" w:hAnsi="Calibri"/>
          <w:b/>
          <w:bCs/>
          <w:sz w:val="21"/>
          <w:szCs w:val="21"/>
          <w:highlight w:val="yellow"/>
          <w:highlightCs w:val="yellow"/>
        </w:rPr>
        <w:t xml:space="preserve">42</w:t>
      </w:r>
      <w:r>
        <w:rPr>
          <w:rFonts w:ascii="Calibri" w:cs="Calibri" w:eastAsia="Calibri" w:hAnsi="Calibri"/>
          <w:sz w:val="21"/>
          <w:szCs w:val="21"/>
        </w:rPr>
        <w:t xml:space="preserve">% of that carries a private letter rating rather than a public one.</w:t>
      </w:r>
    </w:p>
    <w:p>
      <w:pPr>
        <w:pStyle w:val="ListParagraph"/>
        <w:numPr>
          <w:ilvl w:val="0"/>
          <w:numId w:val="2"/>
        </w:numPr>
        <w:spacing w:after="80" w:line="276"/>
      </w:pPr>
      <w:r>
        <w:rPr>
          <w:rFonts w:ascii="Calibri" w:cs="Calibri" w:eastAsia="Calibri" w:hAnsi="Calibri"/>
          <w:b/>
          <w:bCs/>
          <w:sz w:val="21"/>
          <w:szCs w:val="21"/>
        </w:rPr>
        <w:t xml:space="preserve">Market backdrop:</w:t>
      </w:r>
      <w:r>
        <w:rPr>
          <w:rFonts w:ascii="Calibri" w:cs="Calibri" w:eastAsia="Calibri" w:hAnsi="Calibri"/>
          <w:sz w:val="21"/>
          <w:szCs w:val="21"/>
        </w:rPr>
        <w:t xml:space="preserve"> private credit defaults reached a record 6.0% (Fitch, Q2 2026), semi-liquid BDC redemptions exceeded inflows for the first time (Fed FSR, May 2026), and banks report NDFI lending standards at the tighter end of their range (Fed SLOOS, July 2026).</w:t>
      </w:r>
    </w:p>
    <w:p>
      <w:pPr>
        <w:pStyle w:val="Heading1"/>
        <w:spacing w:after="120" w:before="360"/>
      </w:pPr>
      <w:r>
        <w:t xml:space="preserve">1. Dashboard highlights</w:t>
      </w:r>
    </w:p>
    <w:p>
      <w:pPr>
        <w:pStyle w:val="Heading2"/>
        <w:spacing w:after="100" w:before="240"/>
      </w:pPr>
      <w:r>
        <w:t xml:space="preserve">1.1  U.S. Banks — lending to non-depository financial institutions (NDFI)</w:t>
      </w:r>
    </w:p>
    <w:p>
      <w:pPr>
        <w:spacing w:after="120" w:line="276"/>
      </w:pPr>
      <w:r>
        <w:rPr>
          <w:rFonts w:ascii="Calibri" w:cs="Calibri" w:eastAsia="Calibri" w:hAnsi="Calibri"/>
          <w:sz w:val="21"/>
          <w:szCs w:val="21"/>
        </w:rPr>
        <w:t xml:space="preserve">Regulatory filings have no “private credit” line item. The closest available measure is the FR Y-9C disclosure of loans to non-depository financial institutions (NDFI), which since 2024 has been broken out into five borrower types. We treat loans to </w:t>
      </w:r>
      <w:r>
        <w:rPr>
          <w:rFonts w:ascii="Calibri" w:cs="Calibri" w:eastAsia="Calibri" w:hAnsi="Calibri"/>
          <w:b/>
          <w:bCs/>
          <w:sz w:val="21"/>
          <w:szCs w:val="21"/>
        </w:rPr>
        <w:t xml:space="preserve">business credit intermediaries (BCI)</w:t>
      </w:r>
      <w:r>
        <w:rPr>
          <w:rFonts w:ascii="Calibri" w:cs="Calibri" w:eastAsia="Calibri" w:hAnsi="Calibri"/>
          <w:sz w:val="21"/>
          <w:szCs w:val="21"/>
        </w:rPr>
        <w:t xml:space="preserve"> — direct lenders, BDCs and other private credit funds — as the core private credit proxy, and total NDFI loans as the upper bound. Exposure is therefore presented as a range rather than a single number.</w:t>
      </w:r>
    </w:p>
    <w:p>
      <w:pPr>
        <w:pStyle w:val="Heading3"/>
        <w:spacing w:after="80" w:before="180"/>
      </w:pPr>
      <w:r>
        <w:t xml:space="preserve">Where we stand</w:t>
      </w:r>
    </w:p>
    <w:tbl>
      <w:tblPr>
        <w:tblW w:type="dxa" w:w="10080"/>
        <w:tblBorders>
          <w:top w:val="none" w:sz="0"/>
          <w:left w:val="none" w:sz="0"/>
          <w:bottom w:val="none" w:sz="0"/>
          <w:right w:val="none" w:sz="0"/>
          <w:insideH w:val="none" w:sz="0"/>
          <w:insideV w:val="single" w:color="FFFFFF" w:sz="12"/>
        </w:tblBorders>
      </w:tblPr>
      <w:tblGrid>
        <w:gridCol w:w="2520"/>
        <w:gridCol w:w="2520"/>
        <w:gridCol w:w="2520"/>
        <w:gridCol w:w="2520"/>
      </w:tblGrid>
      <w:tr>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highlight w:val="yellow"/>
                <w:highlightCs w:val="yellow"/>
              </w:rPr>
              <w:t xml:space="preserve">49</w:t>
            </w:r>
          </w:p>
          <w:p>
            <w:pPr>
              <w:spacing w:after="0"/>
              <w:jc w:val="center"/>
            </w:pPr>
            <w:r>
              <w:rPr>
                <w:rFonts w:ascii="Calibri" w:cs="Calibri" w:eastAsia="Calibri" w:hAnsi="Calibri"/>
                <w:color w:val="595959"/>
                <w:sz w:val="18"/>
                <w:szCs w:val="18"/>
              </w:rPr>
              <w:t xml:space="preserve">S&amp;P-rated U.S. bank holding companies in sample</w:t>
            </w:r>
          </w:p>
        </w:tc>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rPr>
              <w:t xml:space="preserve">$</w:t>
            </w:r>
            <w:r>
              <w:rPr>
                <w:rFonts w:ascii="Calibri" w:cs="Calibri" w:eastAsia="Calibri" w:hAnsi="Calibri"/>
                <w:b/>
                <w:bCs/>
                <w:color w:val="1F3864"/>
                <w:sz w:val="30"/>
                <w:szCs w:val="30"/>
                <w:highlight w:val="yellow"/>
                <w:highlightCs w:val="yellow"/>
              </w:rPr>
              <w:t xml:space="preserve">1.53</w:t>
            </w:r>
            <w:r>
              <w:rPr>
                <w:rFonts w:ascii="Calibri" w:cs="Calibri" w:eastAsia="Calibri" w:hAnsi="Calibri"/>
                <w:b/>
                <w:bCs/>
                <w:color w:val="1F3864"/>
                <w:sz w:val="30"/>
                <w:szCs w:val="30"/>
              </w:rPr>
              <w:t xml:space="preserve">T</w:t>
            </w:r>
          </w:p>
          <w:p>
            <w:pPr>
              <w:spacing w:after="0"/>
              <w:jc w:val="center"/>
            </w:pPr>
            <w:r>
              <w:rPr>
                <w:rFonts w:ascii="Calibri" w:cs="Calibri" w:eastAsia="Calibri" w:hAnsi="Calibri"/>
                <w:color w:val="595959"/>
                <w:sz w:val="18"/>
                <w:szCs w:val="18"/>
              </w:rPr>
              <w:t xml:space="preserve">Loans to NDFI (upper bound)</w:t>
            </w:r>
          </w:p>
        </w:tc>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highlight w:val="yellow"/>
                <w:highlightCs w:val="yellow"/>
              </w:rPr>
              <w:t xml:space="preserve">15</w:t>
            </w:r>
            <w:r>
              <w:rPr>
                <w:rFonts w:ascii="Calibri" w:cs="Calibri" w:eastAsia="Calibri" w:hAnsi="Calibri"/>
                <w:b/>
                <w:bCs/>
                <w:color w:val="1F3864"/>
                <w:sz w:val="30"/>
                <w:szCs w:val="30"/>
              </w:rPr>
              <w:t xml:space="preserve">%</w:t>
            </w:r>
          </w:p>
          <w:p>
            <w:pPr>
              <w:spacing w:after="0"/>
              <w:jc w:val="center"/>
            </w:pPr>
            <w:r>
              <w:rPr>
                <w:rFonts w:ascii="Calibri" w:cs="Calibri" w:eastAsia="Calibri" w:hAnsi="Calibri"/>
                <w:color w:val="595959"/>
                <w:sz w:val="18"/>
                <w:szCs w:val="18"/>
              </w:rPr>
              <w:t xml:space="preserve">NDFI loans as % of total loans</w:t>
            </w:r>
          </w:p>
        </w:tc>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rPr>
              <w:t xml:space="preserve">$</w:t>
            </w:r>
            <w:r>
              <w:rPr>
                <w:rFonts w:ascii="Calibri" w:cs="Calibri" w:eastAsia="Calibri" w:hAnsi="Calibri"/>
                <w:b/>
                <w:bCs/>
                <w:color w:val="1F3864"/>
                <w:sz w:val="30"/>
                <w:szCs w:val="30"/>
                <w:highlight w:val="yellow"/>
                <w:highlightCs w:val="yellow"/>
              </w:rPr>
              <w:t xml:space="preserve">411</w:t>
            </w:r>
            <w:r>
              <w:rPr>
                <w:rFonts w:ascii="Calibri" w:cs="Calibri" w:eastAsia="Calibri" w:hAnsi="Calibri"/>
                <w:b/>
                <w:bCs/>
                <w:color w:val="1F3864"/>
                <w:sz w:val="30"/>
                <w:szCs w:val="30"/>
              </w:rPr>
              <w:t xml:space="preserve">bn</w:t>
            </w:r>
          </w:p>
          <w:p>
            <w:pPr>
              <w:spacing w:after="0"/>
              <w:jc w:val="center"/>
            </w:pPr>
            <w:r>
              <w:rPr>
                <w:rFonts w:ascii="Calibri" w:cs="Calibri" w:eastAsia="Calibri" w:hAnsi="Calibri"/>
                <w:color w:val="595959"/>
                <w:sz w:val="18"/>
                <w:szCs w:val="18"/>
              </w:rPr>
              <w:t xml:space="preserve">Loans to business credit intermediaries (core proxy)</w:t>
            </w:r>
          </w:p>
        </w:tc>
      </w:tr>
    </w:tbl>
    <w:p>
      <w:pPr>
        <w:spacing w:after="120"/>
      </w:pP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700"/>
        <w:gridCol w:w="4780"/>
      </w:tblGrid>
      <w:tr>
        <w:trPr>
          <w:cantSplit/>
          <w:tblHeader/>
        </w:trPr>
        <w:tc>
          <w:tcPr>
            <w:tcW w:type="dxa" w:w="2600"/>
            <w:shd w:fill="1F3864" w:color="auto" w:val="clear"/>
            <w:tcMar>
              <w:top w:type="dxa" w:w="60"/>
              <w:left w:type="dxa" w:w="100"/>
              <w:bottom w:type="dxa" w:w="60"/>
              <w:right w:type="dxa" w:w="100"/>
            </w:tcMar>
          </w:tcPr>
          <w:p>
            <w:pPr>
              <w:keepNext/>
              <w:keepLines/>
              <w:spacing w:after="0" w:line="252"/>
            </w:pPr>
            <w:r>
              <w:rPr>
                <w:rFonts w:ascii="Calibri" w:cs="Calibri" w:eastAsia="Calibri" w:hAnsi="Calibri"/>
                <w:b/>
                <w:bCs/>
                <w:color w:val="FFFFFF"/>
                <w:sz w:val="20"/>
                <w:szCs w:val="20"/>
              </w:rPr>
              <w:t xml:space="preserve">Metric</w:t>
            </w:r>
          </w:p>
        </w:tc>
        <w:tc>
          <w:tcPr>
            <w:tcW w:type="dxa" w:w="2700"/>
            <w:shd w:fill="1F3864" w:color="auto" w:val="clear"/>
            <w:tcMar>
              <w:top w:type="dxa" w:w="60"/>
              <w:left w:type="dxa" w:w="100"/>
              <w:bottom w:type="dxa" w:w="60"/>
              <w:right w:type="dxa" w:w="100"/>
            </w:tcMar>
          </w:tcPr>
          <w:p>
            <w:pPr>
              <w:keepNext/>
              <w:keepLines/>
              <w:spacing w:after="0" w:line="252"/>
            </w:pPr>
            <w:r>
              <w:rPr>
                <w:rFonts w:ascii="Calibri" w:cs="Calibri" w:eastAsia="Calibri" w:hAnsi="Calibri"/>
                <w:b/>
                <w:bCs/>
                <w:color w:val="1F1F1F"/>
                <w:sz w:val="20"/>
                <w:szCs w:val="20"/>
                <w:highlight w:val="yellow"/>
                <w:highlightCs w:val="yellow"/>
              </w:rPr>
              <w:t xml:space="preserve">Q2 2026</w:t>
            </w:r>
          </w:p>
        </w:tc>
        <w:tc>
          <w:tcPr>
            <w:tcW w:type="dxa" w:w="4780"/>
            <w:shd w:fill="1F3864" w:color="auto" w:val="clear"/>
            <w:tcMar>
              <w:top w:type="dxa" w:w="60"/>
              <w:left w:type="dxa" w:w="100"/>
              <w:bottom w:type="dxa" w:w="60"/>
              <w:right w:type="dxa" w:w="100"/>
            </w:tcMar>
          </w:tcPr>
          <w:p>
            <w:pPr>
              <w:keepNext/>
              <w:keepLines/>
              <w:spacing w:after="0" w:line="252"/>
            </w:pPr>
            <w:r>
              <w:rPr>
                <w:rFonts w:ascii="Calibri" w:cs="Calibri" w:eastAsia="Calibri" w:hAnsi="Calibri"/>
                <w:b/>
                <w:bCs/>
                <w:color w:val="FFFFFF"/>
                <w:sz w:val="20"/>
                <w:szCs w:val="20"/>
              </w:rPr>
              <w:t xml:space="preserve">Note</w:t>
            </w:r>
          </w:p>
        </w:tc>
      </w:tr>
      <w:tr>
        <w:trPr>
          <w:cantSplit/>
        </w:trPr>
        <w:tc>
          <w:tcPr>
            <w:tcW w:type="dxa" w:w="2600"/>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Rated BHCs in sample</w:t>
            </w:r>
          </w:p>
        </w:tc>
        <w:tc>
          <w:tcPr>
            <w:tcW w:type="dxa" w:w="2700"/>
            <w:tcMar>
              <w:top w:type="dxa" w:w="60"/>
              <w:left w:type="dxa" w:w="100"/>
              <w:bottom w:type="dxa" w:w="60"/>
              <w:right w:type="dxa" w:w="100"/>
            </w:tcMar>
          </w:tcPr>
          <w:p>
            <w:pPr>
              <w:keepNext/>
              <w:keepLines/>
              <w:spacing w:after="0" w:line="252"/>
            </w:pPr>
            <w:r>
              <w:rPr>
                <w:rFonts w:ascii="Calibri" w:cs="Calibri" w:eastAsia="Calibri" w:hAnsi="Calibri"/>
                <w:b/>
                <w:bCs/>
                <w:sz w:val="20"/>
                <w:szCs w:val="20"/>
                <w:highlight w:val="yellow"/>
                <w:highlightCs w:val="yellow"/>
              </w:rPr>
              <w:t xml:space="preserve">49</w:t>
            </w:r>
          </w:p>
        </w:tc>
        <w:tc>
          <w:tcPr>
            <w:tcW w:type="dxa" w:w="4780"/>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S&amp;P-rated holding companies that report the NDFI detail, after parent-level consolidation (subsidiaries removed to avoid double counting)</w:t>
            </w:r>
          </w:p>
        </w:tc>
      </w:tr>
      <w:tr>
        <w:trPr>
          <w:cantSplit/>
        </w:trPr>
        <w:tc>
          <w:tcPr>
            <w:tcW w:type="dxa" w:w="260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Total loans &amp; leases</w:t>
            </w:r>
          </w:p>
        </w:tc>
        <w:tc>
          <w:tcPr>
            <w:tcW w:type="dxa" w:w="270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w:t>
            </w:r>
            <w:r>
              <w:rPr>
                <w:rFonts w:ascii="Calibri" w:cs="Calibri" w:eastAsia="Calibri" w:hAnsi="Calibri"/>
                <w:b/>
                <w:bCs/>
                <w:sz w:val="20"/>
                <w:szCs w:val="20"/>
                <w:highlight w:val="yellow"/>
                <w:highlightCs w:val="yellow"/>
              </w:rPr>
              <w:t xml:space="preserve">10.0</w:t>
            </w:r>
            <w:r>
              <w:rPr>
                <w:rFonts w:ascii="Calibri" w:cs="Calibri" w:eastAsia="Calibri" w:hAnsi="Calibri"/>
                <w:b w:val="false"/>
                <w:bCs w:val="false"/>
                <w:sz w:val="20"/>
                <w:szCs w:val="20"/>
              </w:rPr>
              <w:t xml:space="preserve">T</w:t>
            </w:r>
          </w:p>
        </w:tc>
        <w:tc>
          <w:tcPr>
            <w:tcW w:type="dxa" w:w="478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Aggregate loan book of the sample</w:t>
            </w:r>
          </w:p>
        </w:tc>
      </w:tr>
      <w:tr>
        <w:trPr>
          <w:cantSplit/>
        </w:trPr>
        <w:tc>
          <w:tcPr>
            <w:tcW w:type="dxa" w:w="2600"/>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Loans to NDFI</w:t>
            </w:r>
          </w:p>
        </w:tc>
        <w:tc>
          <w:tcPr>
            <w:tcW w:type="dxa" w:w="2700"/>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w:t>
            </w:r>
            <w:r>
              <w:rPr>
                <w:rFonts w:ascii="Calibri" w:cs="Calibri" w:eastAsia="Calibri" w:hAnsi="Calibri"/>
                <w:b/>
                <w:bCs/>
                <w:sz w:val="20"/>
                <w:szCs w:val="20"/>
                <w:highlight w:val="yellow"/>
                <w:highlightCs w:val="yellow"/>
              </w:rPr>
              <w:t xml:space="preserve">1.53</w:t>
            </w:r>
            <w:r>
              <w:rPr>
                <w:rFonts w:ascii="Calibri" w:cs="Calibri" w:eastAsia="Calibri" w:hAnsi="Calibri"/>
                <w:b w:val="false"/>
                <w:bCs w:val="false"/>
                <w:sz w:val="20"/>
                <w:szCs w:val="20"/>
              </w:rPr>
              <w:t xml:space="preserve">T  (</w:t>
            </w:r>
            <w:r>
              <w:rPr>
                <w:rFonts w:ascii="Calibri" w:cs="Calibri" w:eastAsia="Calibri" w:hAnsi="Calibri"/>
                <w:b/>
                <w:bCs/>
                <w:sz w:val="20"/>
                <w:szCs w:val="20"/>
                <w:highlight w:val="yellow"/>
                <w:highlightCs w:val="yellow"/>
              </w:rPr>
              <w:t xml:space="preserve">15</w:t>
            </w:r>
            <w:r>
              <w:rPr>
                <w:rFonts w:ascii="Calibri" w:cs="Calibri" w:eastAsia="Calibri" w:hAnsi="Calibri"/>
                <w:b w:val="false"/>
                <w:bCs w:val="false"/>
                <w:sz w:val="20"/>
                <w:szCs w:val="20"/>
              </w:rPr>
              <w:t xml:space="preserve">% of loans)</w:t>
            </w:r>
          </w:p>
        </w:tc>
        <w:tc>
          <w:tcPr>
            <w:tcW w:type="dxa" w:w="4780"/>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Upper bound: all bank-to-nonbank lending tracked by the Fed and FSB</w:t>
            </w:r>
          </w:p>
        </w:tc>
      </w:tr>
      <w:tr>
        <w:trPr>
          <w:cantSplit/>
        </w:trPr>
        <w:tc>
          <w:tcPr>
            <w:tcW w:type="dxa" w:w="2600"/>
            <w:shd w:fill="F2F2F2" w:color="auto" w:val="clear"/>
            <w:tcMar>
              <w:top w:type="dxa" w:w="60"/>
              <w:left w:type="dxa" w:w="100"/>
              <w:bottom w:type="dxa" w:w="60"/>
              <w:right w:type="dxa" w:w="100"/>
            </w:tcMar>
          </w:tcPr>
          <w:p>
            <w:pPr>
              <w:keepNext w:val="false"/>
              <w:keepLines/>
              <w:spacing w:after="0" w:line="252"/>
            </w:pPr>
            <w:r>
              <w:rPr>
                <w:rFonts w:ascii="Calibri" w:cs="Calibri" w:eastAsia="Calibri" w:hAnsi="Calibri"/>
                <w:b/>
                <w:bCs/>
                <w:sz w:val="20"/>
                <w:szCs w:val="20"/>
              </w:rPr>
              <w:t xml:space="preserve">Loans to business credit intermediaries</w:t>
            </w:r>
          </w:p>
        </w:tc>
        <w:tc>
          <w:tcPr>
            <w:tcW w:type="dxa" w:w="2700"/>
            <w:shd w:fill="F2F2F2" w:color="auto" w:val="clear"/>
            <w:tcMar>
              <w:top w:type="dxa" w:w="60"/>
              <w:left w:type="dxa" w:w="100"/>
              <w:bottom w:type="dxa" w:w="60"/>
              <w:right w:type="dxa" w:w="100"/>
            </w:tcMar>
          </w:tcPr>
          <w:p>
            <w:pPr>
              <w:keepNext w:val="false"/>
              <w:keepLines/>
              <w:spacing w:after="0" w:line="252"/>
            </w:pPr>
            <w:r>
              <w:rPr>
                <w:rFonts w:ascii="Calibri" w:cs="Calibri" w:eastAsia="Calibri" w:hAnsi="Calibri"/>
                <w:b w:val="false"/>
                <w:bCs w:val="false"/>
                <w:sz w:val="20"/>
                <w:szCs w:val="20"/>
              </w:rPr>
              <w:t xml:space="preserve">$</w:t>
            </w:r>
            <w:r>
              <w:rPr>
                <w:rFonts w:ascii="Calibri" w:cs="Calibri" w:eastAsia="Calibri" w:hAnsi="Calibri"/>
                <w:b/>
                <w:bCs/>
                <w:sz w:val="20"/>
                <w:szCs w:val="20"/>
                <w:highlight w:val="yellow"/>
                <w:highlightCs w:val="yellow"/>
              </w:rPr>
              <w:t xml:space="preserve">411</w:t>
            </w:r>
            <w:r>
              <w:rPr>
                <w:rFonts w:ascii="Calibri" w:cs="Calibri" w:eastAsia="Calibri" w:hAnsi="Calibri"/>
                <w:b w:val="false"/>
                <w:bCs w:val="false"/>
                <w:sz w:val="20"/>
                <w:szCs w:val="20"/>
              </w:rPr>
              <w:t xml:space="preserve">bn  (</w:t>
            </w:r>
            <w:r>
              <w:rPr>
                <w:rFonts w:ascii="Calibri" w:cs="Calibri" w:eastAsia="Calibri" w:hAnsi="Calibri"/>
                <w:b/>
                <w:bCs/>
                <w:sz w:val="20"/>
                <w:szCs w:val="20"/>
                <w:highlight w:val="yellow"/>
                <w:highlightCs w:val="yellow"/>
              </w:rPr>
              <w:t xml:space="preserve">27</w:t>
            </w:r>
            <w:r>
              <w:rPr>
                <w:rFonts w:ascii="Calibri" w:cs="Calibri" w:eastAsia="Calibri" w:hAnsi="Calibri"/>
                <w:b w:val="false"/>
                <w:bCs w:val="false"/>
                <w:sz w:val="20"/>
                <w:szCs w:val="20"/>
              </w:rPr>
              <w:t xml:space="preserve">% of NDFI; </w:t>
            </w:r>
            <w:r>
              <w:rPr>
                <w:rFonts w:ascii="Calibri" w:cs="Calibri" w:eastAsia="Calibri" w:hAnsi="Calibri"/>
                <w:b/>
                <w:bCs/>
                <w:sz w:val="20"/>
                <w:szCs w:val="20"/>
                <w:highlight w:val="yellow"/>
                <w:highlightCs w:val="yellow"/>
              </w:rPr>
              <w:t xml:space="preserve">4.1</w:t>
            </w:r>
            <w:r>
              <w:rPr>
                <w:rFonts w:ascii="Calibri" w:cs="Calibri" w:eastAsia="Calibri" w:hAnsi="Calibri"/>
                <w:b w:val="false"/>
                <w:bCs w:val="false"/>
                <w:sz w:val="20"/>
                <w:szCs w:val="20"/>
              </w:rPr>
              <w:t xml:space="preserve">% of loans)</w:t>
            </w:r>
          </w:p>
        </w:tc>
        <w:tc>
          <w:tcPr>
            <w:tcW w:type="dxa" w:w="4780"/>
            <w:shd w:fill="F2F2F2" w:color="auto" w:val="clear"/>
            <w:tcMar>
              <w:top w:type="dxa" w:w="60"/>
              <w:left w:type="dxa" w:w="100"/>
              <w:bottom w:type="dxa" w:w="60"/>
              <w:right w:type="dxa" w:w="100"/>
            </w:tcMar>
          </w:tcPr>
          <w:p>
            <w:pPr>
              <w:keepNext w:val="false"/>
              <w:keepLines/>
              <w:spacing w:after="0" w:line="252"/>
            </w:pPr>
            <w:r>
              <w:rPr>
                <w:rFonts w:ascii="Calibri" w:cs="Calibri" w:eastAsia="Calibri" w:hAnsi="Calibri"/>
                <w:b w:val="false"/>
                <w:bCs w:val="false"/>
                <w:sz w:val="20"/>
                <w:szCs w:val="20"/>
              </w:rPr>
              <w:t xml:space="preserve">Core private credit proxy; the same measure used in Moody's 2025 U.S. banks report</w:t>
            </w:r>
          </w:p>
        </w:tc>
      </w:tr>
    </w:tbl>
    <w:p>
      <w:pPr>
        <w:spacing w:after="120" w:line="264"/>
      </w:pPr>
      <w:r>
        <w:rPr>
          <w:rFonts w:ascii="Calibri" w:cs="Calibri" w:eastAsia="Calibri" w:hAnsi="Calibri"/>
          <w:b/>
          <w:bCs/>
          <w:i/>
          <w:iCs/>
          <w:color w:val="2E75B6"/>
          <w:sz w:val="19"/>
          <w:szCs w:val="19"/>
        </w:rPr>
        <w:t xml:space="preserve">填写提示 ▸ </w:t>
      </w:r>
      <w:r>
        <w:rPr>
          <w:rFonts w:ascii="Calibri" w:cs="Calibri" w:eastAsia="Calibri" w:hAnsi="Calibri"/>
          <w:i/>
          <w:iCs/>
          <w:color w:val="2E75B6"/>
          <w:sz w:val="19"/>
          <w:szCs w:val="19"/>
        </w:rPr>
        <w:t xml:space="preserve">刷新到 2026Q2 后从 US Banks 页读数：家数、Total Loans、Loans to NDFI 和 %、Business Credit 和两个 %。括号里是 7 月版数字。Checklist A0 / A1。</w:t>
      </w:r>
    </w:p>
    <w:p>
      <w:pPr>
        <w:spacing w:after="120" w:before="120" w:line="276"/>
      </w:pPr>
      <w:r>
        <w:rPr>
          <w:rFonts w:ascii="Calibri" w:cs="Calibri" w:eastAsia="Calibri" w:hAnsi="Calibri"/>
          <w:sz w:val="21"/>
          <w:szCs w:val="21"/>
        </w:rPr>
        <w:t xml:space="preserve">Two points frame these numbers. First, </w:t>
      </w:r>
      <w:r>
        <w:rPr>
          <w:rFonts w:ascii="Calibri" w:cs="Calibri" w:eastAsia="Calibri" w:hAnsi="Calibri"/>
          <w:b/>
          <w:bCs/>
          <w:sz w:val="21"/>
          <w:szCs w:val="21"/>
          <w:highlight w:val="yellow"/>
          <w:highlightCs w:val="yellow"/>
        </w:rPr>
        <w:t xml:space="preserve">15</w:t>
      </w:r>
      <w:r>
        <w:rPr>
          <w:rFonts w:ascii="Calibri" w:cs="Calibri" w:eastAsia="Calibri" w:hAnsi="Calibri"/>
          <w:sz w:val="21"/>
          <w:szCs w:val="21"/>
        </w:rPr>
        <w:t xml:space="preserve">% is consistent with the industry picture: the FDIC reports that for banks above $250bn in assets, NDFI loans rose from 1.2% of total loans in 2010 to 15.6% at year-end 2025. Second, only about a </w:t>
      </w:r>
      <w:r>
        <w:rPr>
          <w:rFonts w:ascii="Calibri" w:cs="Calibri" w:eastAsia="Calibri" w:hAnsi="Calibri"/>
          <w:b/>
          <w:bCs/>
          <w:sz w:val="21"/>
          <w:szCs w:val="21"/>
          <w:highlight w:val="yellow"/>
          <w:highlightCs w:val="yellow"/>
        </w:rPr>
        <w:t xml:space="preserve">quarter</w:t>
      </w:r>
      <w:r>
        <w:rPr>
          <w:rFonts w:ascii="Calibri" w:cs="Calibri" w:eastAsia="Calibri" w:hAnsi="Calibri"/>
          <w:sz w:val="21"/>
          <w:szCs w:val="21"/>
        </w:rPr>
        <w:t xml:space="preserve"> of NDFI lending is the private credit proxy; the rest is subscription lines to private equity funds, warehouse lines to mortgage and consumer lenders, and other intermediaries.</w:t>
      </w:r>
    </w:p>
    <w:p>
      <w:pPr>
        <w:pStyle w:val="Heading3"/>
        <w:spacing w:after="80" w:before="180"/>
      </w:pPr>
      <w:r>
        <w:t xml:space="preserve">How fast is it growing?</w:t>
      </w:r>
    </w:p>
    <w:tbl>
      <w:tblPr>
        <w:tblW w:type="dxa" w:w="10080"/>
        <w:tblBorders>
          <w:top w:val="dashed" w:color="A6A6A6" w:sz="6"/>
          <w:left w:val="dashed" w:color="A6A6A6" w:sz="6"/>
          <w:bottom w:val="dashed" w:color="A6A6A6" w:sz="6"/>
          <w:right w:val="dashed" w:color="A6A6A6" w:sz="6"/>
          <w:insideH w:val="dashed" w:color="A6A6A6" w:sz="6"/>
          <w:insideV w:val="dashed" w:color="A6A6A6" w:sz="6"/>
        </w:tblBorders>
      </w:tblPr>
      <w:tblGrid>
        <w:gridCol w:w="10080"/>
      </w:tblGrid>
      <w:tr>
        <w:tc>
          <w:tcPr>
            <w:tcW w:type="dxa" w:w="10080"/>
            <w:shd w:fill="F7F7F7" w:color="auto" w:val="clear"/>
            <w:tcMar>
              <w:top w:type="dxa" w:w="140"/>
              <w:left w:type="dxa" w:w="200"/>
              <w:bottom w:type="dxa" w:w="140"/>
              <w:right w:type="dxa" w:w="200"/>
            </w:tcMar>
          </w:tcPr>
          <w:p>
            <w:pPr>
              <w:spacing w:before="700"/>
            </w:pPr>
          </w:p>
          <w:p>
            <w:pPr>
              <w:spacing w:after="60"/>
              <w:jc w:val="center"/>
            </w:pPr>
            <w:r>
              <w:rPr>
                <w:rFonts w:ascii="Calibri" w:cs="Calibri" w:eastAsia="Calibri" w:hAnsi="Calibri"/>
                <w:b/>
                <w:bCs/>
                <w:color w:val="595959"/>
                <w:sz w:val="20"/>
                <w:szCs w:val="20"/>
              </w:rPr>
              <w:t xml:space="preserve">Chart 1 — NDFI loans as % of total loans (line) and BCI loans, $bn (bars), rated universe, </w:t>
            </w:r>
            <w:r>
              <w:rPr>
                <w:rFonts w:ascii="Calibri" w:cs="Calibri" w:eastAsia="Calibri" w:hAnsi="Calibri"/>
                <w:b/>
                <w:bCs/>
                <w:color w:val="595959"/>
                <w:sz w:val="20"/>
                <w:szCs w:val="20"/>
                <w:highlight w:val="yellow"/>
                <w:highlightCs w:val="yellow"/>
              </w:rPr>
              <w:t xml:space="preserve">Q2 2024</w:t>
            </w:r>
            <w:r>
              <w:rPr>
                <w:rFonts w:ascii="Calibri" w:cs="Calibri" w:eastAsia="Calibri" w:hAnsi="Calibri"/>
                <w:b/>
                <w:bCs/>
                <w:color w:val="595959"/>
                <w:sz w:val="20"/>
                <w:szCs w:val="20"/>
              </w:rPr>
              <w:t xml:space="preserve">–</w:t>
            </w:r>
            <w:r>
              <w:rPr>
                <w:rFonts w:ascii="Calibri" w:cs="Calibri" w:eastAsia="Calibri" w:hAnsi="Calibri"/>
                <w:b/>
                <w:bCs/>
                <w:color w:val="595959"/>
                <w:sz w:val="20"/>
                <w:szCs w:val="20"/>
                <w:highlight w:val="yellow"/>
                <w:highlightCs w:val="yellow"/>
              </w:rPr>
              <w:t xml:space="preserve">Q2 2026</w:t>
            </w:r>
          </w:p>
          <w:p>
            <w:pPr>
              <w:spacing w:after="700"/>
              <w:jc w:val="center"/>
            </w:pPr>
            <w:r>
              <w:rPr>
                <w:rFonts w:ascii="Calibri" w:cs="Calibri" w:eastAsia="Calibri" w:hAnsi="Calibri"/>
                <w:i/>
                <w:iCs/>
                <w:color w:val="595959"/>
                <w:sz w:val="19"/>
                <w:szCs w:val="19"/>
              </w:rPr>
              <w:t xml:space="preserve">从 Power BI trend line chart 导出 PNG 后贴入 · 固定 universe（当前 49 家）</w:t>
            </w:r>
          </w:p>
        </w:tc>
      </w:tr>
    </w:tbl>
    <w:p>
      <w:pPr>
        <w:spacing w:after="100"/>
      </w:pPr>
    </w:p>
    <w:p>
      <w:pPr>
        <w:spacing w:after="120" w:line="276"/>
      </w:pPr>
      <w:r>
        <w:rPr>
          <w:rFonts w:ascii="Calibri" w:cs="Calibri" w:eastAsia="Calibri" w:hAnsi="Calibri"/>
          <w:sz w:val="21"/>
          <w:szCs w:val="21"/>
        </w:rPr>
        <w:t xml:space="preserve">Across the </w:t>
      </w:r>
      <w:r>
        <w:rPr>
          <w:rFonts w:ascii="Calibri" w:cs="Calibri" w:eastAsia="Calibri" w:hAnsi="Calibri"/>
          <w:b/>
          <w:bCs/>
          <w:sz w:val="21"/>
          <w:szCs w:val="21"/>
          <w:highlight w:val="yellow"/>
          <w:highlightCs w:val="yellow"/>
        </w:rPr>
        <w:t xml:space="preserve">8</w:t>
      </w:r>
      <w:r>
        <w:rPr>
          <w:rFonts w:ascii="Calibri" w:cs="Calibri" w:eastAsia="Calibri" w:hAnsi="Calibri"/>
          <w:sz w:val="21"/>
          <w:szCs w:val="21"/>
        </w:rPr>
        <w:t xml:space="preserve"> quarters since the five-way NDFI breakout became available in the Y-9C, NDFI loans in the rated universe grew </w:t>
      </w:r>
      <w:r>
        <w:rPr>
          <w:rFonts w:ascii="Calibri" w:cs="Calibri" w:eastAsia="Calibri" w:hAnsi="Calibri"/>
          <w:b/>
          <w:bCs/>
          <w:sz w:val="21"/>
          <w:szCs w:val="21"/>
          <w:highlight w:val="yellow"/>
          <w:highlightCs w:val="yellow"/>
        </w:rPr>
        <w:t xml:space="preserve">XX</w:t>
      </w:r>
      <w:r>
        <w:rPr>
          <w:rFonts w:ascii="Calibri" w:cs="Calibri" w:eastAsia="Calibri" w:hAnsi="Calibri"/>
          <w:sz w:val="21"/>
          <w:szCs w:val="21"/>
        </w:rPr>
        <w:t xml:space="preserve">% (from $</w:t>
      </w:r>
      <w:r>
        <w:rPr>
          <w:rFonts w:ascii="Calibri" w:cs="Calibri" w:eastAsia="Calibri" w:hAnsi="Calibri"/>
          <w:b/>
          <w:bCs/>
          <w:sz w:val="21"/>
          <w:szCs w:val="21"/>
          <w:highlight w:val="yellow"/>
          <w:highlightCs w:val="yellow"/>
        </w:rPr>
        <w:t xml:space="preserve">X.XX</w:t>
      </w:r>
      <w:r>
        <w:rPr>
          <w:rFonts w:ascii="Calibri" w:cs="Calibri" w:eastAsia="Calibri" w:hAnsi="Calibri"/>
          <w:sz w:val="21"/>
          <w:szCs w:val="21"/>
        </w:rPr>
        <w:t xml:space="preserve">T to $</w:t>
      </w:r>
      <w:r>
        <w:rPr>
          <w:rFonts w:ascii="Calibri" w:cs="Calibri" w:eastAsia="Calibri" w:hAnsi="Calibri"/>
          <w:b/>
          <w:bCs/>
          <w:sz w:val="21"/>
          <w:szCs w:val="21"/>
          <w:highlight w:val="yellow"/>
          <w:highlightCs w:val="yellow"/>
        </w:rPr>
        <w:t xml:space="preserve">1.53</w:t>
      </w:r>
      <w:r>
        <w:rPr>
          <w:rFonts w:ascii="Calibri" w:cs="Calibri" w:eastAsia="Calibri" w:hAnsi="Calibri"/>
          <w:sz w:val="21"/>
          <w:szCs w:val="21"/>
        </w:rPr>
        <w:t xml:space="preserve">T) against </w:t>
      </w:r>
      <w:r>
        <w:rPr>
          <w:rFonts w:ascii="Calibri" w:cs="Calibri" w:eastAsia="Calibri" w:hAnsi="Calibri"/>
          <w:b/>
          <w:bCs/>
          <w:sz w:val="21"/>
          <w:szCs w:val="21"/>
          <w:highlight w:val="yellow"/>
          <w:highlightCs w:val="yellow"/>
        </w:rPr>
        <w:t xml:space="preserve">X</w:t>
      </w:r>
      <w:r>
        <w:rPr>
          <w:rFonts w:ascii="Calibri" w:cs="Calibri" w:eastAsia="Calibri" w:hAnsi="Calibri"/>
          <w:sz w:val="21"/>
          <w:szCs w:val="21"/>
        </w:rPr>
        <w:t xml:space="preserve">% growth in total loans; loans to business credit intermediaries grew </w:t>
      </w:r>
      <w:r>
        <w:rPr>
          <w:rFonts w:ascii="Calibri" w:cs="Calibri" w:eastAsia="Calibri" w:hAnsi="Calibri"/>
          <w:b/>
          <w:bCs/>
          <w:sz w:val="21"/>
          <w:szCs w:val="21"/>
          <w:highlight w:val="yellow"/>
          <w:highlightCs w:val="yellow"/>
        </w:rPr>
        <w:t xml:space="preserve">XX</w:t>
      </w:r>
      <w:r>
        <w:rPr>
          <w:rFonts w:ascii="Calibri" w:cs="Calibri" w:eastAsia="Calibri" w:hAnsi="Calibri"/>
          <w:sz w:val="21"/>
          <w:szCs w:val="21"/>
        </w:rPr>
        <w:t xml:space="preserve">%. The industry data point in the same direction: in Q2 2026 the FDIC reported NDFI loans up $279bn, or 22.4% year-on-year, versus 6.8% for total loans — the fastest-growing major loan category for the </w:t>
      </w:r>
      <w:r>
        <w:rPr>
          <w:rFonts w:ascii="Calibri" w:cs="Calibri" w:eastAsia="Calibri" w:hAnsi="Calibri"/>
          <w:b/>
          <w:bCs/>
          <w:sz w:val="21"/>
          <w:szCs w:val="21"/>
          <w:highlight w:val="yellow"/>
          <w:highlightCs w:val="yellow"/>
        </w:rPr>
        <w:t xml:space="preserve">n</w:t>
      </w:r>
      <w:r>
        <w:rPr>
          <w:rFonts w:ascii="Calibri" w:cs="Calibri" w:eastAsia="Calibri" w:hAnsi="Calibri"/>
          <w:sz w:val="21"/>
          <w:szCs w:val="21"/>
        </w:rPr>
        <w:t xml:space="preserve">th consecutive quarter.</w:t>
      </w:r>
    </w:p>
    <w:p>
      <w:pPr>
        <w:spacing w:after="120" w:line="264"/>
      </w:pPr>
      <w:r>
        <w:rPr>
          <w:rFonts w:ascii="Calibri" w:cs="Calibri" w:eastAsia="Calibri" w:hAnsi="Calibri"/>
          <w:b/>
          <w:bCs/>
          <w:i/>
          <w:iCs/>
          <w:color w:val="2E75B6"/>
          <w:sz w:val="19"/>
          <w:szCs w:val="19"/>
        </w:rPr>
        <w:t xml:space="preserve">填写提示 ▸ </w:t>
      </w:r>
      <w:r>
        <w:rPr>
          <w:rFonts w:ascii="Calibri" w:cs="Calibri" w:eastAsia="Calibri" w:hAnsi="Calibri"/>
          <w:i/>
          <w:iCs/>
          <w:color w:val="2E75B6"/>
          <w:sz w:val="19"/>
          <w:szCs w:val="19"/>
        </w:rPr>
        <w:t xml:space="preserve">需要先补历史 Y-9C（checklist A3）。如果第一期来不及，把上段改成只引用 FDIC 的行业增速，并删掉图表框。</w:t>
      </w:r>
    </w:p>
    <w:p>
      <w:pPr>
        <w:pStyle w:val="Heading3"/>
        <w:spacing w:after="80" w:before="180"/>
      </w:pPr>
      <w:r>
        <w:t xml:space="preserve">Who is doing the lending?</w:t>
      </w:r>
    </w:p>
    <w:p>
      <w:pPr>
        <w:spacing w:after="120" w:line="276"/>
      </w:pPr>
      <w:r>
        <w:rPr>
          <w:rFonts w:ascii="Calibri" w:cs="Calibri" w:eastAsia="Calibri" w:hAnsi="Calibri"/>
          <w:sz w:val="21"/>
          <w:szCs w:val="21"/>
        </w:rPr>
        <w:t xml:space="preserve">NDFI lending is a large-bank business. By rating, exposure in our sample is concentrated in the A and BBB categories: </w:t>
      </w:r>
      <w:r>
        <w:rPr>
          <w:rFonts w:ascii="Calibri" w:cs="Calibri" w:eastAsia="Calibri" w:hAnsi="Calibri"/>
          <w:b/>
          <w:bCs/>
          <w:sz w:val="21"/>
          <w:szCs w:val="21"/>
          <w:highlight w:val="yellow"/>
          <w:highlightCs w:val="yellow"/>
        </w:rPr>
        <w:t xml:space="preserve">XX</w:t>
      </w:r>
      <w:r>
        <w:rPr>
          <w:rFonts w:ascii="Calibri" w:cs="Calibri" w:eastAsia="Calibri" w:hAnsi="Calibri"/>
          <w:sz w:val="21"/>
          <w:szCs w:val="21"/>
        </w:rPr>
        <w:t xml:space="preserve">% of NDFI loans sit with banks rated A- or higher, reflecting the fact that the largest NDFI lenders are large, investment-grade institutions. The FDIC estimates that banks above $100bn in assets hold 86% of the industry's NDFI loans and the ten largest banks alone hold 66%.</w:t>
      </w:r>
    </w:p>
    <w:p>
      <w:pPr>
        <w:spacing w:after="120" w:line="264"/>
      </w:pPr>
      <w:r>
        <w:rPr>
          <w:rFonts w:ascii="Calibri" w:cs="Calibri" w:eastAsia="Calibri" w:hAnsi="Calibri"/>
          <w:b/>
          <w:bCs/>
          <w:i/>
          <w:iCs/>
          <w:color w:val="2E75B6"/>
          <w:sz w:val="19"/>
          <w:szCs w:val="19"/>
        </w:rPr>
        <w:t xml:space="preserve">填写提示 ▸ </w:t>
      </w:r>
      <w:r>
        <w:rPr>
          <w:rFonts w:ascii="Calibri" w:cs="Calibri" w:eastAsia="Calibri" w:hAnsi="Calibri"/>
          <w:i/>
          <w:iCs/>
          <w:color w:val="2E75B6"/>
          <w:sz w:val="19"/>
          <w:szCs w:val="19"/>
        </w:rPr>
        <w:t xml:space="preserve">可选条目 5。从 ratings bar chart 按 rating 汇总 Loans to NDFI，算 A- 及以上的占比。不放就删掉本小节。</w:t>
      </w:r>
    </w:p>
    <w:p>
      <w:pPr>
        <w:pStyle w:val="Heading2"/>
        <w:spacing w:after="100" w:before="240"/>
      </w:pPr>
      <w:r>
        <w:t xml:space="preserve">1.2  U.S. Life Insurers — private placement bond holdings</w:t>
      </w:r>
    </w:p>
    <w:p>
      <w:pPr>
        <w:spacing w:after="120" w:line="276"/>
      </w:pPr>
      <w:r>
        <w:rPr>
          <w:rFonts w:ascii="Calibri" w:cs="Calibri" w:eastAsia="Calibri" w:hAnsi="Calibri"/>
          <w:sz w:val="21"/>
          <w:szCs w:val="21"/>
        </w:rPr>
        <w:t xml:space="preserve">The insurance dashboard covers U.S. life and fraternal insurers' </w:t>
      </w:r>
      <w:r>
        <w:rPr>
          <w:rFonts w:ascii="Calibri" w:cs="Calibri" w:eastAsia="Calibri" w:hAnsi="Calibri"/>
          <w:b/>
          <w:bCs/>
          <w:sz w:val="21"/>
          <w:szCs w:val="21"/>
        </w:rPr>
        <w:t xml:space="preserve">private placement (PP) bonds</w:t>
      </w:r>
      <w:r>
        <w:rPr>
          <w:rFonts w:ascii="Calibri" w:cs="Calibri" w:eastAsia="Calibri" w:hAnsi="Calibri"/>
          <w:sz w:val="21"/>
          <w:szCs w:val="21"/>
        </w:rPr>
        <w:t xml:space="preserve"> reported on NAIC Schedule D Part 1 as of year-end 2025, identified by Private Placement Number (PPN). By construction it excludes 144A securities, Schedule BA assets (funds and direct-lending vehicles) and Schedule B mortgage loans — so the figures below are a defined subset of private credit, not the whole of it. Exposure is measured at statutory book/adjusted carrying value (BACV), and denominators are on the same statutory basis.</w:t>
      </w:r>
    </w:p>
    <w:p>
      <w:pPr>
        <w:pStyle w:val="Heading3"/>
        <w:spacing w:after="80" w:before="180"/>
      </w:pPr>
      <w:r>
        <w:t xml:space="preserve">Where we stand</w:t>
      </w:r>
    </w:p>
    <w:tbl>
      <w:tblPr>
        <w:tblW w:type="dxa" w:w="10080"/>
        <w:tblBorders>
          <w:top w:val="none" w:sz="0"/>
          <w:left w:val="none" w:sz="0"/>
          <w:bottom w:val="none" w:sz="0"/>
          <w:right w:val="none" w:sz="0"/>
          <w:insideH w:val="none" w:sz="0"/>
          <w:insideV w:val="single" w:color="FFFFFF" w:sz="12"/>
        </w:tblBorders>
      </w:tblPr>
      <w:tblGrid>
        <w:gridCol w:w="2520"/>
        <w:gridCol w:w="2520"/>
        <w:gridCol w:w="2520"/>
        <w:gridCol w:w="2520"/>
      </w:tblGrid>
      <w:tr>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rPr>
              <w:t xml:space="preserve">$</w:t>
            </w:r>
            <w:r>
              <w:rPr>
                <w:rFonts w:ascii="Calibri" w:cs="Calibri" w:eastAsia="Calibri" w:hAnsi="Calibri"/>
                <w:b/>
                <w:bCs/>
                <w:color w:val="1F3864"/>
                <w:sz w:val="30"/>
                <w:szCs w:val="30"/>
                <w:highlight w:val="yellow"/>
                <w:highlightCs w:val="yellow"/>
              </w:rPr>
              <w:t xml:space="preserve">934</w:t>
            </w:r>
            <w:r>
              <w:rPr>
                <w:rFonts w:ascii="Calibri" w:cs="Calibri" w:eastAsia="Calibri" w:hAnsi="Calibri"/>
                <w:b/>
                <w:bCs/>
                <w:color w:val="1F3864"/>
                <w:sz w:val="30"/>
                <w:szCs w:val="30"/>
              </w:rPr>
              <w:t xml:space="preserve">bn</w:t>
            </w:r>
          </w:p>
          <w:p>
            <w:pPr>
              <w:spacing w:after="0"/>
              <w:jc w:val="center"/>
            </w:pPr>
            <w:r>
              <w:rPr>
                <w:rFonts w:ascii="Calibri" w:cs="Calibri" w:eastAsia="Calibri" w:hAnsi="Calibri"/>
                <w:color w:val="595959"/>
                <w:sz w:val="18"/>
                <w:szCs w:val="18"/>
              </w:rPr>
              <w:t xml:space="preserve">PP bond BACV (Sched D Pt 1), YE2025</w:t>
            </w:r>
          </w:p>
        </w:tc>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highlight w:val="yellow"/>
                <w:highlightCs w:val="yellow"/>
              </w:rPr>
              <w:t xml:space="preserve">15</w:t>
            </w:r>
            <w:r>
              <w:rPr>
                <w:rFonts w:ascii="Calibri" w:cs="Calibri" w:eastAsia="Calibri" w:hAnsi="Calibri"/>
                <w:b/>
                <w:bCs/>
                <w:color w:val="1F3864"/>
                <w:sz w:val="30"/>
                <w:szCs w:val="30"/>
              </w:rPr>
              <w:t xml:space="preserve">%</w:t>
            </w:r>
          </w:p>
          <w:p>
            <w:pPr>
              <w:spacing w:after="0"/>
              <w:jc w:val="center"/>
            </w:pPr>
            <w:r>
              <w:rPr>
                <w:rFonts w:ascii="Calibri" w:cs="Calibri" w:eastAsia="Calibri" w:hAnsi="Calibri"/>
                <w:color w:val="595959"/>
                <w:sz w:val="18"/>
                <w:szCs w:val="18"/>
              </w:rPr>
              <w:t xml:space="preserve">PP as % of net admitted cash &amp; invested assets</w:t>
            </w:r>
          </w:p>
        </w:tc>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highlight w:val="yellow"/>
                <w:highlightCs w:val="yellow"/>
              </w:rPr>
              <w:t xml:space="preserve">2.0</w:t>
            </w:r>
            <w:r>
              <w:rPr>
                <w:rFonts w:ascii="Calibri" w:cs="Calibri" w:eastAsia="Calibri" w:hAnsi="Calibri"/>
                <w:b/>
                <w:bCs/>
                <w:color w:val="1F3864"/>
                <w:sz w:val="30"/>
                <w:szCs w:val="30"/>
              </w:rPr>
              <w:t xml:space="preserve">x</w:t>
            </w:r>
          </w:p>
          <w:p>
            <w:pPr>
              <w:spacing w:after="0"/>
              <w:jc w:val="center"/>
            </w:pPr>
            <w:r>
              <w:rPr>
                <w:rFonts w:ascii="Calibri" w:cs="Calibri" w:eastAsia="Calibri" w:hAnsi="Calibri"/>
                <w:color w:val="595959"/>
                <w:sz w:val="18"/>
                <w:szCs w:val="18"/>
              </w:rPr>
              <w:t xml:space="preserve">PP as a multiple of capital &amp; surplus</w:t>
            </w:r>
          </w:p>
        </w:tc>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highlight w:val="yellow"/>
                <w:highlightCs w:val="yellow"/>
              </w:rPr>
              <w:t xml:space="preserve">41.7</w:t>
            </w:r>
            <w:r>
              <w:rPr>
                <w:rFonts w:ascii="Calibri" w:cs="Calibri" w:eastAsia="Calibri" w:hAnsi="Calibri"/>
                <w:b/>
                <w:bCs/>
                <w:color w:val="1F3864"/>
                <w:sz w:val="30"/>
                <w:szCs w:val="30"/>
              </w:rPr>
              <w:t xml:space="preserve">%</w:t>
            </w:r>
          </w:p>
          <w:p>
            <w:pPr>
              <w:spacing w:after="0"/>
              <w:jc w:val="center"/>
            </w:pPr>
            <w:r>
              <w:rPr>
                <w:rFonts w:ascii="Calibri" w:cs="Calibri" w:eastAsia="Calibri" w:hAnsi="Calibri"/>
                <w:color w:val="595959"/>
                <w:sz w:val="18"/>
                <w:szCs w:val="18"/>
              </w:rPr>
              <w:t xml:space="preserve">Share carrying a private letter (PL) rating</w:t>
            </w:r>
          </w:p>
        </w:tc>
      </w:tr>
    </w:tbl>
    <w:p>
      <w:pPr>
        <w:spacing w:after="120"/>
      </w:pP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1700"/>
        <w:gridCol w:w="4980"/>
      </w:tblGrid>
      <w:tr>
        <w:trPr>
          <w:cantSplit/>
          <w:tblHeader/>
        </w:trPr>
        <w:tc>
          <w:tcPr>
            <w:tcW w:type="dxa" w:w="3400"/>
            <w:shd w:fill="1F3864" w:color="auto" w:val="clear"/>
            <w:tcMar>
              <w:top w:type="dxa" w:w="60"/>
              <w:left w:type="dxa" w:w="100"/>
              <w:bottom w:type="dxa" w:w="60"/>
              <w:right w:type="dxa" w:w="100"/>
            </w:tcMar>
          </w:tcPr>
          <w:p>
            <w:pPr>
              <w:keepNext/>
              <w:keepLines/>
              <w:spacing w:after="0" w:line="252"/>
            </w:pPr>
            <w:r>
              <w:rPr>
                <w:rFonts w:ascii="Calibri" w:cs="Calibri" w:eastAsia="Calibri" w:hAnsi="Calibri"/>
                <w:b/>
                <w:bCs/>
                <w:color w:val="FFFFFF"/>
                <w:sz w:val="20"/>
                <w:szCs w:val="20"/>
              </w:rPr>
              <w:t xml:space="preserve">Metric</w:t>
            </w:r>
          </w:p>
        </w:tc>
        <w:tc>
          <w:tcPr>
            <w:tcW w:type="dxa" w:w="1700"/>
            <w:shd w:fill="1F3864" w:color="auto" w:val="clear"/>
            <w:tcMar>
              <w:top w:type="dxa" w:w="60"/>
              <w:left w:type="dxa" w:w="100"/>
              <w:bottom w:type="dxa" w:w="60"/>
              <w:right w:type="dxa" w:w="100"/>
            </w:tcMar>
          </w:tcPr>
          <w:p>
            <w:pPr>
              <w:keepNext/>
              <w:keepLines/>
              <w:spacing w:after="0" w:line="252"/>
            </w:pPr>
            <w:r>
              <w:rPr>
                <w:rFonts w:ascii="Calibri" w:cs="Calibri" w:eastAsia="Calibri" w:hAnsi="Calibri"/>
                <w:b/>
                <w:bCs/>
                <w:color w:val="FFFFFF"/>
                <w:sz w:val="20"/>
                <w:szCs w:val="20"/>
              </w:rPr>
              <w:t xml:space="preserve">YE2025</w:t>
            </w:r>
          </w:p>
        </w:tc>
        <w:tc>
          <w:tcPr>
            <w:tcW w:type="dxa" w:w="4980"/>
            <w:shd w:fill="1F3864" w:color="auto" w:val="clear"/>
            <w:tcMar>
              <w:top w:type="dxa" w:w="60"/>
              <w:left w:type="dxa" w:w="100"/>
              <w:bottom w:type="dxa" w:w="60"/>
              <w:right w:type="dxa" w:w="100"/>
            </w:tcMar>
          </w:tcPr>
          <w:p>
            <w:pPr>
              <w:keepNext/>
              <w:keepLines/>
              <w:spacing w:after="0" w:line="252"/>
            </w:pPr>
            <w:r>
              <w:rPr>
                <w:rFonts w:ascii="Calibri" w:cs="Calibri" w:eastAsia="Calibri" w:hAnsi="Calibri"/>
                <w:b/>
                <w:bCs/>
                <w:color w:val="FFFFFF"/>
                <w:sz w:val="20"/>
                <w:szCs w:val="20"/>
              </w:rPr>
              <w:t xml:space="preserve">Note</w:t>
            </w:r>
          </w:p>
        </w:tc>
      </w:tr>
      <w:tr>
        <w:trPr>
          <w:cantSplit/>
        </w:trPr>
        <w:tc>
          <w:tcPr>
            <w:tcW w:type="dxa" w:w="3400"/>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Life/fraternal entities holding PP bonds</w:t>
            </w:r>
          </w:p>
        </w:tc>
        <w:tc>
          <w:tcPr>
            <w:tcW w:type="dxa" w:w="1700"/>
            <w:tcMar>
              <w:top w:type="dxa" w:w="60"/>
              <w:left w:type="dxa" w:w="100"/>
              <w:bottom w:type="dxa" w:w="60"/>
              <w:right w:type="dxa" w:w="100"/>
            </w:tcMar>
          </w:tcPr>
          <w:p>
            <w:pPr>
              <w:keepNext/>
              <w:keepLines/>
              <w:spacing w:after="0" w:line="252"/>
            </w:pPr>
            <w:r>
              <w:rPr>
                <w:rFonts w:ascii="Calibri" w:cs="Calibri" w:eastAsia="Calibri" w:hAnsi="Calibri"/>
                <w:b/>
                <w:bCs/>
                <w:sz w:val="20"/>
                <w:szCs w:val="20"/>
                <w:highlight w:val="yellow"/>
                <w:highlightCs w:val="yellow"/>
              </w:rPr>
              <w:t xml:space="preserve">XXX</w:t>
            </w:r>
          </w:p>
        </w:tc>
        <w:tc>
          <w:tcPr>
            <w:tcW w:type="dxa" w:w="4980"/>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Individual statutory entities (not groups)</w:t>
            </w:r>
          </w:p>
        </w:tc>
      </w:tr>
      <w:tr>
        <w:trPr>
          <w:cantSplit/>
        </w:trPr>
        <w:tc>
          <w:tcPr>
            <w:tcW w:type="dxa" w:w="340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PP bond BACV (Sched D Pt 1)</w:t>
            </w:r>
          </w:p>
        </w:tc>
        <w:tc>
          <w:tcPr>
            <w:tcW w:type="dxa" w:w="170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w:t>
            </w:r>
            <w:r>
              <w:rPr>
                <w:rFonts w:ascii="Calibri" w:cs="Calibri" w:eastAsia="Calibri" w:hAnsi="Calibri"/>
                <w:b/>
                <w:bCs/>
                <w:sz w:val="20"/>
                <w:szCs w:val="20"/>
                <w:highlight w:val="yellow"/>
                <w:highlightCs w:val="yellow"/>
              </w:rPr>
              <w:t xml:space="preserve">934</w:t>
            </w:r>
            <w:r>
              <w:rPr>
                <w:rFonts w:ascii="Calibri" w:cs="Calibri" w:eastAsia="Calibri" w:hAnsi="Calibri"/>
                <w:b w:val="false"/>
                <w:bCs w:val="false"/>
                <w:sz w:val="20"/>
                <w:szCs w:val="20"/>
              </w:rPr>
              <w:t xml:space="preserve">bn</w:t>
            </w:r>
          </w:p>
        </w:tc>
        <w:tc>
          <w:tcPr>
            <w:tcW w:type="dxa" w:w="498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Statutory carrying value; not total portfolio</w:t>
            </w:r>
          </w:p>
        </w:tc>
      </w:tr>
      <w:tr>
        <w:trPr>
          <w:cantSplit/>
        </w:trPr>
        <w:tc>
          <w:tcPr>
            <w:tcW w:type="dxa" w:w="3400"/>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PP % of net admitted cash &amp; invested assets</w:t>
            </w:r>
          </w:p>
        </w:tc>
        <w:tc>
          <w:tcPr>
            <w:tcW w:type="dxa" w:w="1700"/>
            <w:tcMar>
              <w:top w:type="dxa" w:w="60"/>
              <w:left w:type="dxa" w:w="100"/>
              <w:bottom w:type="dxa" w:w="60"/>
              <w:right w:type="dxa" w:w="100"/>
            </w:tcMar>
          </w:tcPr>
          <w:p>
            <w:pPr>
              <w:keepNext/>
              <w:keepLines/>
              <w:spacing w:after="0" w:line="252"/>
            </w:pPr>
            <w:r>
              <w:rPr>
                <w:rFonts w:ascii="Calibri" w:cs="Calibri" w:eastAsia="Calibri" w:hAnsi="Calibri"/>
                <w:b/>
                <w:bCs/>
                <w:sz w:val="20"/>
                <w:szCs w:val="20"/>
                <w:highlight w:val="yellow"/>
                <w:highlightCs w:val="yellow"/>
              </w:rPr>
              <w:t xml:space="preserve">15</w:t>
            </w:r>
            <w:r>
              <w:rPr>
                <w:rFonts w:ascii="Calibri" w:cs="Calibri" w:eastAsia="Calibri" w:hAnsi="Calibri"/>
                <w:b w:val="false"/>
                <w:bCs w:val="false"/>
                <w:sz w:val="20"/>
                <w:szCs w:val="20"/>
              </w:rPr>
              <w:t xml:space="preserve">%</w:t>
            </w:r>
          </w:p>
        </w:tc>
        <w:tc>
          <w:tcPr>
            <w:tcW w:type="dxa" w:w="4980"/>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Industry aggregate; entity-level range roughly 10–25%</w:t>
            </w:r>
          </w:p>
        </w:tc>
      </w:tr>
      <w:tr>
        <w:trPr>
          <w:cantSplit/>
        </w:trPr>
        <w:tc>
          <w:tcPr>
            <w:tcW w:type="dxa" w:w="340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PP as multiple of capital &amp; surplus</w:t>
            </w:r>
          </w:p>
        </w:tc>
        <w:tc>
          <w:tcPr>
            <w:tcW w:type="dxa" w:w="170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bCs/>
                <w:sz w:val="20"/>
                <w:szCs w:val="20"/>
                <w:highlight w:val="yellow"/>
                <w:highlightCs w:val="yellow"/>
              </w:rPr>
              <w:t xml:space="preserve">2.0</w:t>
            </w:r>
            <w:r>
              <w:rPr>
                <w:rFonts w:ascii="Calibri" w:cs="Calibri" w:eastAsia="Calibri" w:hAnsi="Calibri"/>
                <w:b w:val="false"/>
                <w:bCs w:val="false"/>
                <w:sz w:val="20"/>
                <w:szCs w:val="20"/>
              </w:rPr>
              <w:t xml:space="preserve">x</w:t>
            </w:r>
          </w:p>
        </w:tc>
        <w:tc>
          <w:tcPr>
            <w:tcW w:type="dxa" w:w="498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Exposure relative to the solvency buffer; entity-level range roughly 1–4x</w:t>
            </w:r>
          </w:p>
        </w:tc>
      </w:tr>
      <w:tr>
        <w:trPr>
          <w:cantSplit/>
        </w:trPr>
        <w:tc>
          <w:tcPr>
            <w:tcW w:type="dxa" w:w="3400"/>
            <w:tcMar>
              <w:top w:type="dxa" w:w="60"/>
              <w:left w:type="dxa" w:w="100"/>
              <w:bottom w:type="dxa" w:w="60"/>
              <w:right w:type="dxa" w:w="100"/>
            </w:tcMar>
          </w:tcPr>
          <w:p>
            <w:pPr>
              <w:keepNext w:val="false"/>
              <w:keepLines/>
              <w:spacing w:after="0" w:line="252"/>
            </w:pPr>
            <w:r>
              <w:rPr>
                <w:rFonts w:ascii="Calibri" w:cs="Calibri" w:eastAsia="Calibri" w:hAnsi="Calibri"/>
                <w:b/>
                <w:bCs/>
                <w:sz w:val="20"/>
                <w:szCs w:val="20"/>
              </w:rPr>
              <w:t xml:space="preserve">NAIC 3–6 share of PP</w:t>
            </w:r>
          </w:p>
        </w:tc>
        <w:tc>
          <w:tcPr>
            <w:tcW w:type="dxa" w:w="1700"/>
            <w:tcMar>
              <w:top w:type="dxa" w:w="60"/>
              <w:left w:type="dxa" w:w="100"/>
              <w:bottom w:type="dxa" w:w="60"/>
              <w:right w:type="dxa" w:w="100"/>
            </w:tcMar>
          </w:tcPr>
          <w:p>
            <w:pPr>
              <w:keepNext w:val="false"/>
              <w:keepLines/>
              <w:spacing w:after="0" w:line="252"/>
            </w:pPr>
            <w:r>
              <w:rPr>
                <w:rFonts w:ascii="Calibri" w:cs="Calibri" w:eastAsia="Calibri" w:hAnsi="Calibri"/>
                <w:b/>
                <w:bCs/>
                <w:sz w:val="20"/>
                <w:szCs w:val="20"/>
                <w:highlight w:val="yellow"/>
                <w:highlightCs w:val="yellow"/>
              </w:rPr>
              <w:t xml:space="preserve">6.1</w:t>
            </w:r>
            <w:r>
              <w:rPr>
                <w:rFonts w:ascii="Calibri" w:cs="Calibri" w:eastAsia="Calibri" w:hAnsi="Calibri"/>
                <w:b w:val="false"/>
                <w:bCs w:val="false"/>
                <w:sz w:val="20"/>
                <w:szCs w:val="20"/>
              </w:rPr>
              <w:t xml:space="preserve">%</w:t>
            </w:r>
          </w:p>
        </w:tc>
        <w:tc>
          <w:tcPr>
            <w:tcW w:type="dxa" w:w="4980"/>
            <w:tcMar>
              <w:top w:type="dxa" w:w="60"/>
              <w:left w:type="dxa" w:w="100"/>
              <w:bottom w:type="dxa" w:w="60"/>
              <w:right w:type="dxa" w:w="100"/>
            </w:tcMar>
          </w:tcPr>
          <w:p>
            <w:pPr>
              <w:keepNext w:val="false"/>
              <w:keepLines/>
              <w:spacing w:after="0" w:line="252"/>
            </w:pPr>
            <w:r>
              <w:rPr>
                <w:rFonts w:ascii="Calibri" w:cs="Calibri" w:eastAsia="Calibri" w:hAnsi="Calibri"/>
                <w:b w:val="false"/>
                <w:bCs w:val="false"/>
                <w:sz w:val="20"/>
                <w:szCs w:val="20"/>
              </w:rPr>
              <w:t xml:space="preserve">Below investment grade</w:t>
            </w:r>
          </w:p>
        </w:tc>
      </w:tr>
    </w:tbl>
    <w:p>
      <w:pPr>
        <w:spacing w:after="120" w:line="264"/>
      </w:pPr>
      <w:r>
        <w:rPr>
          <w:rFonts w:ascii="Calibri" w:cs="Calibri" w:eastAsia="Calibri" w:hAnsi="Calibri"/>
          <w:b/>
          <w:bCs/>
          <w:i/>
          <w:iCs/>
          <w:color w:val="2E75B6"/>
          <w:sz w:val="19"/>
          <w:szCs w:val="19"/>
        </w:rPr>
        <w:t xml:space="preserve">填写提示 ▸ </w:t>
      </w:r>
      <w:r>
        <w:rPr>
          <w:rFonts w:ascii="Calibri" w:cs="Calibri" w:eastAsia="Calibri" w:hAnsi="Calibri"/>
          <w:i/>
          <w:iCs/>
          <w:color w:val="2E75B6"/>
          <w:sz w:val="19"/>
          <w:szCs w:val="19"/>
        </w:rPr>
        <w:t xml:space="preserve">先做完 guide Part 0-1 / 0-2（改名 + 两个比率 measure），再从卡片读数。Checklist B0 / B1。</w:t>
      </w:r>
    </w:p>
    <w:p>
      <w:pPr>
        <w:pStyle w:val="Heading3"/>
        <w:spacing w:after="80" w:before="180"/>
      </w:pPr>
      <w:r>
        <w:t xml:space="preserve">How transparent are the ratings behind the designations?</w:t>
      </w:r>
    </w:p>
    <w:p>
      <w:pPr>
        <w:spacing w:after="120" w:before="120" w:line="276"/>
      </w:pPr>
      <w:r>
        <w:rPr>
          <w:rFonts w:ascii="Calibri" w:cs="Calibri" w:eastAsia="Calibri" w:hAnsi="Calibri"/>
          <w:sz w:val="21"/>
          <w:szCs w:val="21"/>
        </w:rPr>
        <w:t xml:space="preserve">Every PP bond carries an NAIC designation, but the designations are reached through different channels — and the channel tells you how much public information exists on the credit. We split PP holdings by the SVO administrative symbol:</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5080"/>
        <w:gridCol w:w="1100"/>
        <w:gridCol w:w="1400"/>
      </w:tblGrid>
      <w:tr>
        <w:trPr>
          <w:cantSplit/>
          <w:tblHeader/>
        </w:trPr>
        <w:tc>
          <w:tcPr>
            <w:tcW w:type="dxa" w:w="2500"/>
            <w:shd w:fill="1F3864" w:color="auto" w:val="clear"/>
            <w:tcMar>
              <w:top w:type="dxa" w:w="60"/>
              <w:left w:type="dxa" w:w="100"/>
              <w:bottom w:type="dxa" w:w="60"/>
              <w:right w:type="dxa" w:w="100"/>
            </w:tcMar>
          </w:tcPr>
          <w:p>
            <w:pPr>
              <w:keepNext/>
              <w:keepLines/>
              <w:spacing w:after="0" w:line="252"/>
            </w:pPr>
            <w:r>
              <w:rPr>
                <w:rFonts w:ascii="Calibri" w:cs="Calibri" w:eastAsia="Calibri" w:hAnsi="Calibri"/>
                <w:b/>
                <w:bCs/>
                <w:color w:val="FFFFFF"/>
                <w:sz w:val="20"/>
                <w:szCs w:val="20"/>
              </w:rPr>
              <w:t xml:space="preserve">SVO channel</w:t>
            </w:r>
          </w:p>
        </w:tc>
        <w:tc>
          <w:tcPr>
            <w:tcW w:type="dxa" w:w="5080"/>
            <w:shd w:fill="1F3864" w:color="auto" w:val="clear"/>
            <w:tcMar>
              <w:top w:type="dxa" w:w="60"/>
              <w:left w:type="dxa" w:w="100"/>
              <w:bottom w:type="dxa" w:w="60"/>
              <w:right w:type="dxa" w:w="100"/>
            </w:tcMar>
          </w:tcPr>
          <w:p>
            <w:pPr>
              <w:keepNext/>
              <w:keepLines/>
              <w:spacing w:after="0" w:line="252"/>
            </w:pPr>
            <w:r>
              <w:rPr>
                <w:rFonts w:ascii="Calibri" w:cs="Calibri" w:eastAsia="Calibri" w:hAnsi="Calibri"/>
                <w:b/>
                <w:bCs/>
                <w:color w:val="FFFFFF"/>
                <w:sz w:val="20"/>
                <w:szCs w:val="20"/>
              </w:rPr>
              <w:t xml:space="preserve">What it means</w:t>
            </w:r>
          </w:p>
        </w:tc>
        <w:tc>
          <w:tcPr>
            <w:tcW w:type="dxa" w:w="1100"/>
            <w:shd w:fill="1F3864"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color w:val="FFFFFF"/>
                <w:sz w:val="20"/>
                <w:szCs w:val="20"/>
              </w:rPr>
              <w:t xml:space="preserve">$bn</w:t>
            </w:r>
          </w:p>
        </w:tc>
        <w:tc>
          <w:tcPr>
            <w:tcW w:type="dxa" w:w="1400"/>
            <w:shd w:fill="1F3864"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color w:val="FFFFFF"/>
                <w:sz w:val="20"/>
                <w:szCs w:val="20"/>
              </w:rPr>
              <w:t xml:space="preserve">% of PP</w:t>
            </w:r>
          </w:p>
        </w:tc>
      </w:tr>
      <w:tr>
        <w:trPr>
          <w:cantSplit/>
        </w:trPr>
        <w:tc>
          <w:tcPr>
            <w:tcW w:type="dxa" w:w="2500"/>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PL — private letter rating</w:t>
            </w:r>
          </w:p>
        </w:tc>
        <w:tc>
          <w:tcPr>
            <w:tcW w:type="dxa" w:w="5080"/>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Rating issued privately by an NRSRO at the insurer's or issuer's request and filed with the SVO; not publicly disclosed</w:t>
            </w:r>
          </w:p>
        </w:tc>
        <w:tc>
          <w:tcPr>
            <w:tcW w:type="dxa" w:w="11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390</w:t>
            </w:r>
          </w:p>
        </w:tc>
        <w:tc>
          <w:tcPr>
            <w:tcW w:type="dxa" w:w="14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41.7</w:t>
            </w:r>
            <w:r>
              <w:rPr>
                <w:rFonts w:ascii="Calibri" w:cs="Calibri" w:eastAsia="Calibri" w:hAnsi="Calibri"/>
                <w:b w:val="false"/>
                <w:bCs w:val="false"/>
                <w:sz w:val="20"/>
                <w:szCs w:val="20"/>
              </w:rPr>
              <w:t xml:space="preserve">%</w:t>
            </w:r>
          </w:p>
        </w:tc>
      </w:tr>
      <w:tr>
        <w:trPr>
          <w:cantSplit/>
        </w:trPr>
        <w:tc>
          <w:tcPr>
            <w:tcW w:type="dxa" w:w="250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No symbol — SVO full review</w:t>
            </w:r>
          </w:p>
        </w:tc>
        <w:tc>
          <w:tcPr>
            <w:tcW w:type="dxa" w:w="508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Designation assigned directly by the SVO after a full credit review</w:t>
            </w:r>
          </w:p>
        </w:tc>
        <w:tc>
          <w:tcPr>
            <w:tcW w:type="dxa" w:w="1100"/>
            <w:shd w:fill="F2F2F2"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XXX</w:t>
            </w:r>
          </w:p>
        </w:tc>
        <w:tc>
          <w:tcPr>
            <w:tcW w:type="dxa" w:w="1400"/>
            <w:shd w:fill="F2F2F2"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r>
              <w:rPr>
                <w:rFonts w:ascii="Calibri" w:cs="Calibri" w:eastAsia="Calibri" w:hAnsi="Calibri"/>
                <w:b w:val="false"/>
                <w:bCs w:val="false"/>
                <w:sz w:val="20"/>
                <w:szCs w:val="20"/>
              </w:rPr>
              <w:t xml:space="preserve">%</w:t>
            </w:r>
          </w:p>
        </w:tc>
      </w:tr>
      <w:tr>
        <w:trPr>
          <w:cantSplit/>
        </w:trPr>
        <w:tc>
          <w:tcPr>
            <w:tcW w:type="dxa" w:w="2500"/>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FE — filing exempt</w:t>
            </w:r>
          </w:p>
        </w:tc>
        <w:tc>
          <w:tcPr>
            <w:tcW w:type="dxa" w:w="5080"/>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Issuer carries a public NRSRO rating (still a private placement, not 144A)</w:t>
            </w:r>
          </w:p>
        </w:tc>
        <w:tc>
          <w:tcPr>
            <w:tcW w:type="dxa" w:w="11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XXX</w:t>
            </w:r>
          </w:p>
        </w:tc>
        <w:tc>
          <w:tcPr>
            <w:tcW w:type="dxa" w:w="14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r>
              <w:rPr>
                <w:rFonts w:ascii="Calibri" w:cs="Calibri" w:eastAsia="Calibri" w:hAnsi="Calibri"/>
                <w:b w:val="false"/>
                <w:bCs w:val="false"/>
                <w:sz w:val="20"/>
                <w:szCs w:val="20"/>
              </w:rPr>
              <w:t xml:space="preserve">%</w:t>
            </w:r>
          </w:p>
        </w:tc>
      </w:tr>
      <w:tr>
        <w:trPr>
          <w:cantSplit/>
        </w:trPr>
        <w:tc>
          <w:tcPr>
            <w:tcW w:type="dxa" w:w="2500"/>
            <w:shd w:fill="F2F2F2" w:color="auto" w:val="clear"/>
            <w:tcMar>
              <w:top w:type="dxa" w:w="60"/>
              <w:left w:type="dxa" w:w="100"/>
              <w:bottom w:type="dxa" w:w="60"/>
              <w:right w:type="dxa" w:w="100"/>
            </w:tcMar>
          </w:tcPr>
          <w:p>
            <w:pPr>
              <w:keepNext w:val="false"/>
              <w:keepLines/>
              <w:spacing w:after="0" w:line="252"/>
            </w:pPr>
            <w:r>
              <w:rPr>
                <w:rFonts w:ascii="Calibri" w:cs="Calibri" w:eastAsia="Calibri" w:hAnsi="Calibri"/>
                <w:b/>
                <w:bCs/>
                <w:sz w:val="20"/>
                <w:szCs w:val="20"/>
              </w:rPr>
              <w:t xml:space="preserve">Other administrative (Z, YE, IF, GI…)</w:t>
            </w:r>
          </w:p>
        </w:tc>
        <w:tc>
          <w:tcPr>
            <w:tcW w:type="dxa" w:w="5080"/>
            <w:shd w:fill="F2F2F2" w:color="auto" w:val="clear"/>
            <w:tcMar>
              <w:top w:type="dxa" w:w="60"/>
              <w:left w:type="dxa" w:w="100"/>
              <w:bottom w:type="dxa" w:w="60"/>
              <w:right w:type="dxa" w:w="100"/>
            </w:tcMar>
          </w:tcPr>
          <w:p>
            <w:pPr>
              <w:keepNext w:val="false"/>
              <w:keepLines/>
              <w:spacing w:after="0" w:line="252"/>
            </w:pPr>
            <w:r>
              <w:rPr>
                <w:rFonts w:ascii="Calibri" w:cs="Calibri" w:eastAsia="Calibri" w:hAnsi="Calibri"/>
                <w:b w:val="false"/>
                <w:bCs w:val="false"/>
                <w:sz w:val="20"/>
                <w:szCs w:val="20"/>
              </w:rPr>
              <w:t xml:space="preserve">Transitional filing statuses; small and eventually reclassified</w:t>
            </w:r>
          </w:p>
        </w:tc>
        <w:tc>
          <w:tcPr>
            <w:tcW w:type="dxa" w:w="1100"/>
            <w:shd w:fill="F2F2F2" w:color="auto" w:val="clear"/>
            <w:tcMar>
              <w:top w:type="dxa" w:w="60"/>
              <w:left w:type="dxa" w:w="100"/>
              <w:bottom w:type="dxa" w:w="60"/>
              <w:right w:type="dxa" w:w="100"/>
            </w:tcMar>
          </w:tcPr>
          <w:p>
            <w:pPr>
              <w:keepNext w:val="false"/>
              <w:keepLines/>
              <w:spacing w:after="0" w:line="252"/>
              <w:jc w:val="right"/>
            </w:pPr>
            <w:r>
              <w:rPr>
                <w:rFonts w:ascii="Calibri" w:cs="Calibri" w:eastAsia="Calibri" w:hAnsi="Calibri"/>
                <w:b/>
                <w:bCs/>
                <w:sz w:val="20"/>
                <w:szCs w:val="20"/>
                <w:highlight w:val="yellow"/>
                <w:highlightCs w:val="yellow"/>
              </w:rPr>
              <w:t xml:space="preserve">XX</w:t>
            </w:r>
          </w:p>
        </w:tc>
        <w:tc>
          <w:tcPr>
            <w:tcW w:type="dxa" w:w="1400"/>
            <w:shd w:fill="F2F2F2" w:color="auto" w:val="clear"/>
            <w:tcMar>
              <w:top w:type="dxa" w:w="60"/>
              <w:left w:type="dxa" w:w="100"/>
              <w:bottom w:type="dxa" w:w="60"/>
              <w:right w:type="dxa" w:w="100"/>
            </w:tcMar>
          </w:tcPr>
          <w:p>
            <w:pPr>
              <w:keepNext w:val="false"/>
              <w:keepLines/>
              <w:spacing w:after="0" w:line="252"/>
              <w:jc w:val="right"/>
            </w:pPr>
            <w:r>
              <w:rPr>
                <w:rFonts w:ascii="Calibri" w:cs="Calibri" w:eastAsia="Calibri" w:hAnsi="Calibri"/>
                <w:b/>
                <w:bCs/>
                <w:sz w:val="20"/>
                <w:szCs w:val="20"/>
                <w:highlight w:val="yellow"/>
                <w:highlightCs w:val="yellow"/>
              </w:rPr>
              <w:t xml:space="preserve">XX</w:t>
            </w:r>
            <w:r>
              <w:rPr>
                <w:rFonts w:ascii="Calibri" w:cs="Calibri" w:eastAsia="Calibri" w:hAnsi="Calibri"/>
                <w:b w:val="false"/>
                <w:bCs w:val="false"/>
                <w:sz w:val="20"/>
                <w:szCs w:val="20"/>
              </w:rPr>
              <w:t xml:space="preserve">%</w:t>
            </w:r>
          </w:p>
        </w:tc>
      </w:tr>
    </w:tbl>
    <w:p>
      <w:pPr>
        <w:spacing w:after="120" w:line="264"/>
      </w:pPr>
      <w:r>
        <w:rPr>
          <w:rFonts w:ascii="Calibri" w:cs="Calibri" w:eastAsia="Calibri" w:hAnsi="Calibri"/>
          <w:b/>
          <w:bCs/>
          <w:i/>
          <w:iCs/>
          <w:color w:val="2E75B6"/>
          <w:sz w:val="19"/>
          <w:szCs w:val="19"/>
        </w:rPr>
        <w:t xml:space="preserve">填写提示 ▸ </w:t>
      </w:r>
      <w:r>
        <w:rPr>
          <w:rFonts w:ascii="Calibri" w:cs="Calibri" w:eastAsia="Calibri" w:hAnsi="Calibri"/>
          <w:i/>
          <w:iCs/>
          <w:color w:val="2E75B6"/>
          <w:sz w:val="19"/>
          <w:szCs w:val="19"/>
        </w:rPr>
        <w:t xml:space="preserve">视觉② 的四桶 $ 和 % 全部重读——旧比例（40/36/14/10）是 $882.8bn universe 的。Checklist B2。</w:t>
      </w:r>
    </w:p>
    <w:p>
      <w:pPr>
        <w:spacing w:after="120" w:before="120" w:line="276"/>
      </w:pPr>
      <w:r>
        <w:rPr>
          <w:rFonts w:ascii="Calibri" w:cs="Calibri" w:eastAsia="Calibri" w:hAnsi="Calibri"/>
          <w:sz w:val="21"/>
          <w:szCs w:val="21"/>
        </w:rPr>
        <w:t xml:space="preserve">Roughly </w:t>
      </w:r>
      <w:r>
        <w:rPr>
          <w:rFonts w:ascii="Calibri" w:cs="Calibri" w:eastAsia="Calibri" w:hAnsi="Calibri"/>
          <w:b/>
          <w:bCs/>
          <w:sz w:val="21"/>
          <w:szCs w:val="21"/>
          <w:highlight w:val="yellow"/>
          <w:highlightCs w:val="yellow"/>
        </w:rPr>
        <w:t xml:space="preserve">42</w:t>
      </w:r>
      <w:r>
        <w:rPr>
          <w:rFonts w:ascii="Calibri" w:cs="Calibri" w:eastAsia="Calibri" w:hAnsi="Calibri"/>
          <w:sz w:val="21"/>
          <w:szCs w:val="21"/>
        </w:rPr>
        <w:t xml:space="preserve">% of PP holdings rely on private letter ratings. This is the channel regulators are focused on. At the NAIC Spring 2026 meeting the Securities Valuation Office reported that PL rating filings rose from 1,961 in 2022 to 12,269 in 2025 (+526%) and warned it may soon be unable to complete all filings before year-end. The amendment giving the SVO discretion to challenge ratings it does not consider a reasonable measure of risk (adopted August 2024) has had its January 2026 implementation delayed.</w:t>
      </w:r>
    </w:p>
    <w:p>
      <w:pPr>
        <w:pStyle w:val="Heading3"/>
        <w:spacing w:after="80" w:before="180"/>
      </w:pPr>
      <w:r>
        <w:t xml:space="preserve">Credit quality</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5080"/>
        <w:gridCol w:w="1100"/>
        <w:gridCol w:w="1400"/>
      </w:tblGrid>
      <w:tr>
        <w:trPr>
          <w:cantSplit/>
          <w:tblHeader/>
        </w:trPr>
        <w:tc>
          <w:tcPr>
            <w:tcW w:type="dxa" w:w="2500"/>
            <w:shd w:fill="1F3864" w:color="auto" w:val="clear"/>
            <w:tcMar>
              <w:top w:type="dxa" w:w="60"/>
              <w:left w:type="dxa" w:w="100"/>
              <w:bottom w:type="dxa" w:w="60"/>
              <w:right w:type="dxa" w:w="100"/>
            </w:tcMar>
          </w:tcPr>
          <w:p>
            <w:pPr>
              <w:keepNext/>
              <w:keepLines/>
              <w:spacing w:after="0" w:line="252"/>
            </w:pPr>
            <w:r>
              <w:rPr>
                <w:rFonts w:ascii="Calibri" w:cs="Calibri" w:eastAsia="Calibri" w:hAnsi="Calibri"/>
                <w:b/>
                <w:bCs/>
                <w:color w:val="FFFFFF"/>
                <w:sz w:val="20"/>
                <w:szCs w:val="20"/>
              </w:rPr>
              <w:t xml:space="preserve">NAIC designation</w:t>
            </w:r>
          </w:p>
        </w:tc>
        <w:tc>
          <w:tcPr>
            <w:tcW w:type="dxa" w:w="5080"/>
            <w:shd w:fill="1F3864" w:color="auto" w:val="clear"/>
            <w:tcMar>
              <w:top w:type="dxa" w:w="60"/>
              <w:left w:type="dxa" w:w="100"/>
              <w:bottom w:type="dxa" w:w="60"/>
              <w:right w:type="dxa" w:w="100"/>
            </w:tcMar>
          </w:tcPr>
          <w:p>
            <w:pPr>
              <w:keepNext/>
              <w:keepLines/>
              <w:spacing w:after="0" w:line="252"/>
            </w:pPr>
            <w:r>
              <w:rPr>
                <w:rFonts w:ascii="Calibri" w:cs="Calibri" w:eastAsia="Calibri" w:hAnsi="Calibri"/>
                <w:b/>
                <w:bCs/>
                <w:color w:val="FFFFFF"/>
                <w:sz w:val="20"/>
                <w:szCs w:val="20"/>
              </w:rPr>
              <w:t xml:space="preserve">Approx. rating equivalent</w:t>
            </w:r>
          </w:p>
        </w:tc>
        <w:tc>
          <w:tcPr>
            <w:tcW w:type="dxa" w:w="1100"/>
            <w:shd w:fill="1F3864"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color w:val="FFFFFF"/>
                <w:sz w:val="20"/>
                <w:szCs w:val="20"/>
              </w:rPr>
              <w:t xml:space="preserve">$bn</w:t>
            </w:r>
          </w:p>
        </w:tc>
        <w:tc>
          <w:tcPr>
            <w:tcW w:type="dxa" w:w="1400"/>
            <w:shd w:fill="1F3864"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color w:val="FFFFFF"/>
                <w:sz w:val="20"/>
                <w:szCs w:val="20"/>
              </w:rPr>
              <w:t xml:space="preserve">% of PP</w:t>
            </w:r>
          </w:p>
        </w:tc>
      </w:tr>
      <w:tr>
        <w:trPr>
          <w:cantSplit/>
        </w:trPr>
        <w:tc>
          <w:tcPr>
            <w:tcW w:type="dxa" w:w="2500"/>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NAIC 1</w:t>
            </w:r>
          </w:p>
        </w:tc>
        <w:tc>
          <w:tcPr>
            <w:tcW w:type="dxa" w:w="5080"/>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AAA to A</w:t>
            </w:r>
          </w:p>
        </w:tc>
        <w:tc>
          <w:tcPr>
            <w:tcW w:type="dxa" w:w="11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XXX</w:t>
            </w:r>
          </w:p>
        </w:tc>
        <w:tc>
          <w:tcPr>
            <w:tcW w:type="dxa" w:w="14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r>
              <w:rPr>
                <w:rFonts w:ascii="Calibri" w:cs="Calibri" w:eastAsia="Calibri" w:hAnsi="Calibri"/>
                <w:b w:val="false"/>
                <w:bCs w:val="false"/>
                <w:sz w:val="20"/>
                <w:szCs w:val="20"/>
              </w:rPr>
              <w:t xml:space="preserve">%</w:t>
            </w:r>
          </w:p>
        </w:tc>
      </w:tr>
      <w:tr>
        <w:trPr>
          <w:cantSplit/>
        </w:trPr>
        <w:tc>
          <w:tcPr>
            <w:tcW w:type="dxa" w:w="250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NAIC 2</w:t>
            </w:r>
          </w:p>
        </w:tc>
        <w:tc>
          <w:tcPr>
            <w:tcW w:type="dxa" w:w="508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BBB</w:t>
            </w:r>
          </w:p>
        </w:tc>
        <w:tc>
          <w:tcPr>
            <w:tcW w:type="dxa" w:w="1100"/>
            <w:shd w:fill="F2F2F2"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XXX</w:t>
            </w:r>
          </w:p>
        </w:tc>
        <w:tc>
          <w:tcPr>
            <w:tcW w:type="dxa" w:w="1400"/>
            <w:shd w:fill="F2F2F2"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r>
              <w:rPr>
                <w:rFonts w:ascii="Calibri" w:cs="Calibri" w:eastAsia="Calibri" w:hAnsi="Calibri"/>
                <w:b w:val="false"/>
                <w:bCs w:val="false"/>
                <w:sz w:val="20"/>
                <w:szCs w:val="20"/>
              </w:rPr>
              <w:t xml:space="preserve">%</w:t>
            </w:r>
          </w:p>
        </w:tc>
      </w:tr>
      <w:tr>
        <w:trPr>
          <w:cantSplit/>
        </w:trPr>
        <w:tc>
          <w:tcPr>
            <w:tcW w:type="dxa" w:w="2500"/>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NAIC 3–6</w:t>
            </w:r>
          </w:p>
        </w:tc>
        <w:tc>
          <w:tcPr>
            <w:tcW w:type="dxa" w:w="5080"/>
            <w:tcMar>
              <w:top w:type="dxa" w:w="60"/>
              <w:left w:type="dxa" w:w="100"/>
              <w:bottom w:type="dxa" w:w="60"/>
              <w:right w:type="dxa" w:w="100"/>
            </w:tcMar>
          </w:tcPr>
          <w:p>
            <w:pPr>
              <w:keepNext/>
              <w:keepLines/>
              <w:spacing w:after="0" w:line="252"/>
            </w:pPr>
            <w:r>
              <w:rPr>
                <w:rFonts w:ascii="Calibri" w:cs="Calibri" w:eastAsia="Calibri" w:hAnsi="Calibri"/>
                <w:b w:val="false"/>
                <w:bCs w:val="false"/>
                <w:sz w:val="20"/>
                <w:szCs w:val="20"/>
              </w:rPr>
              <w:t xml:space="preserve">BB and below</w:t>
            </w:r>
          </w:p>
        </w:tc>
        <w:tc>
          <w:tcPr>
            <w:tcW w:type="dxa" w:w="11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4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6.1</w:t>
            </w:r>
            <w:r>
              <w:rPr>
                <w:rFonts w:ascii="Calibri" w:cs="Calibri" w:eastAsia="Calibri" w:hAnsi="Calibri"/>
                <w:b w:val="false"/>
                <w:bCs w:val="false"/>
                <w:sz w:val="20"/>
                <w:szCs w:val="20"/>
              </w:rPr>
              <w:t xml:space="preserve">%</w:t>
            </w:r>
          </w:p>
        </w:tc>
      </w:tr>
      <w:tr>
        <w:trPr>
          <w:cantSplit/>
        </w:trPr>
        <w:tc>
          <w:tcPr>
            <w:tcW w:type="dxa" w:w="2500"/>
            <w:shd w:fill="F2F2F2" w:color="auto" w:val="clear"/>
            <w:tcMar>
              <w:top w:type="dxa" w:w="60"/>
              <w:left w:type="dxa" w:w="100"/>
              <w:bottom w:type="dxa" w:w="60"/>
              <w:right w:type="dxa" w:w="100"/>
            </w:tcMar>
          </w:tcPr>
          <w:p>
            <w:pPr>
              <w:keepNext w:val="false"/>
              <w:keepLines/>
              <w:spacing w:after="0" w:line="252"/>
            </w:pPr>
            <w:r>
              <w:rPr>
                <w:rFonts w:ascii="Calibri" w:cs="Calibri" w:eastAsia="Calibri" w:hAnsi="Calibri"/>
                <w:b/>
                <w:bCs/>
                <w:sz w:val="20"/>
                <w:szCs w:val="20"/>
              </w:rPr>
              <w:t xml:space="preserve">Not designated</w:t>
            </w:r>
          </w:p>
        </w:tc>
        <w:tc>
          <w:tcPr>
            <w:tcW w:type="dxa" w:w="5080"/>
            <w:shd w:fill="F2F2F2" w:color="auto" w:val="clear"/>
            <w:tcMar>
              <w:top w:type="dxa" w:w="60"/>
              <w:left w:type="dxa" w:w="100"/>
              <w:bottom w:type="dxa" w:w="60"/>
              <w:right w:type="dxa" w:w="100"/>
            </w:tcMar>
          </w:tcPr>
          <w:p>
            <w:pPr>
              <w:keepNext w:val="false"/>
              <w:keepLines/>
              <w:spacing w:after="0" w:line="252"/>
            </w:pPr>
            <w:r>
              <w:rPr>
                <w:rFonts w:ascii="Calibri" w:cs="Calibri" w:eastAsia="Calibri" w:hAnsi="Calibri"/>
                <w:b w:val="false"/>
                <w:bCs w:val="false"/>
                <w:sz w:val="20"/>
                <w:szCs w:val="20"/>
              </w:rPr>
              <w:t xml:space="preserve">No designation reported / unparseable</w:t>
            </w:r>
          </w:p>
        </w:tc>
        <w:tc>
          <w:tcPr>
            <w:tcW w:type="dxa" w:w="1100"/>
            <w:shd w:fill="F2F2F2" w:color="auto" w:val="clear"/>
            <w:tcMar>
              <w:top w:type="dxa" w:w="60"/>
              <w:left w:type="dxa" w:w="100"/>
              <w:bottom w:type="dxa" w:w="60"/>
              <w:right w:type="dxa" w:w="100"/>
            </w:tcMar>
          </w:tcPr>
          <w:p>
            <w:pPr>
              <w:keepNext w:val="false"/>
              <w:keepLines/>
              <w:spacing w:after="0" w:line="252"/>
              <w:jc w:val="right"/>
            </w:pPr>
            <w:r>
              <w:rPr>
                <w:rFonts w:ascii="Calibri" w:cs="Calibri" w:eastAsia="Calibri" w:hAnsi="Calibri"/>
                <w:b/>
                <w:bCs/>
                <w:sz w:val="20"/>
                <w:szCs w:val="20"/>
                <w:highlight w:val="yellow"/>
                <w:highlightCs w:val="yellow"/>
              </w:rPr>
              <w:t xml:space="preserve">XX</w:t>
            </w:r>
          </w:p>
        </w:tc>
        <w:tc>
          <w:tcPr>
            <w:tcW w:type="dxa" w:w="1400"/>
            <w:shd w:fill="F2F2F2" w:color="auto" w:val="clear"/>
            <w:tcMar>
              <w:top w:type="dxa" w:w="60"/>
              <w:left w:type="dxa" w:w="100"/>
              <w:bottom w:type="dxa" w:w="60"/>
              <w:right w:type="dxa" w:w="100"/>
            </w:tcMar>
          </w:tcPr>
          <w:p>
            <w:pPr>
              <w:keepNext w:val="false"/>
              <w:keepLines/>
              <w:spacing w:after="0" w:line="252"/>
              <w:jc w:val="right"/>
            </w:pPr>
            <w:r>
              <w:rPr>
                <w:rFonts w:ascii="Calibri" w:cs="Calibri" w:eastAsia="Calibri" w:hAnsi="Calibri"/>
                <w:b/>
                <w:bCs/>
                <w:sz w:val="20"/>
                <w:szCs w:val="20"/>
                <w:highlight w:val="yellow"/>
                <w:highlightCs w:val="yellow"/>
              </w:rPr>
              <w:t xml:space="preserve">X</w:t>
            </w:r>
            <w:r>
              <w:rPr>
                <w:rFonts w:ascii="Calibri" w:cs="Calibri" w:eastAsia="Calibri" w:hAnsi="Calibri"/>
                <w:b w:val="false"/>
                <w:bCs w:val="false"/>
                <w:sz w:val="20"/>
                <w:szCs w:val="20"/>
              </w:rPr>
              <w:t xml:space="preserve">%</w:t>
            </w:r>
          </w:p>
        </w:tc>
      </w:tr>
    </w:tbl>
    <w:p>
      <w:pPr>
        <w:spacing w:after="120" w:line="264"/>
      </w:pPr>
      <w:r>
        <w:rPr>
          <w:rFonts w:ascii="Calibri" w:cs="Calibri" w:eastAsia="Calibri" w:hAnsi="Calibri"/>
          <w:b/>
          <w:bCs/>
          <w:i/>
          <w:iCs/>
          <w:color w:val="2E75B6"/>
          <w:sz w:val="19"/>
          <w:szCs w:val="19"/>
        </w:rPr>
        <w:t xml:space="preserve">填写提示 ▸ </w:t>
      </w:r>
      <w:r>
        <w:rPr>
          <w:rFonts w:ascii="Calibri" w:cs="Calibri" w:eastAsia="Calibri" w:hAnsi="Calibri"/>
          <w:i/>
          <w:iCs/>
          <w:color w:val="2E75B6"/>
          <w:sz w:val="19"/>
          <w:szCs w:val="19"/>
        </w:rPr>
        <w:t xml:space="preserve">视觉① 读四个桶。Checklist B3。</w:t>
      </w:r>
    </w:p>
    <w:p>
      <w:pPr>
        <w:spacing w:after="120" w:before="120" w:line="276"/>
      </w:pPr>
      <w:r>
        <w:rPr>
          <w:rFonts w:ascii="Calibri" w:cs="Calibri" w:eastAsia="Calibri" w:hAnsi="Calibri"/>
          <w:b/>
          <w:bCs/>
          <w:sz w:val="21"/>
          <w:szCs w:val="21"/>
          <w:highlight w:val="yellow"/>
          <w:highlightCs w:val="yellow"/>
        </w:rPr>
        <w:t xml:space="preserve">6.1</w:t>
      </w:r>
      <w:r>
        <w:rPr>
          <w:rFonts w:ascii="Calibri" w:cs="Calibri" w:eastAsia="Calibri" w:hAnsi="Calibri"/>
          <w:sz w:val="21"/>
          <w:szCs w:val="21"/>
        </w:rPr>
        <w:t xml:space="preserve">% of PP BACV is below investment grade and </w:t>
      </w:r>
      <w:r>
        <w:rPr>
          <w:rFonts w:ascii="Calibri" w:cs="Calibri" w:eastAsia="Calibri" w:hAnsi="Calibri"/>
          <w:b/>
          <w:bCs/>
          <w:sz w:val="21"/>
          <w:szCs w:val="21"/>
          <w:highlight w:val="yellow"/>
          <w:highlightCs w:val="yellow"/>
        </w:rPr>
        <w:t xml:space="preserve">XX</w:t>
      </w:r>
      <w:r>
        <w:rPr>
          <w:rFonts w:ascii="Calibri" w:cs="Calibri" w:eastAsia="Calibri" w:hAnsi="Calibri"/>
          <w:sz w:val="21"/>
          <w:szCs w:val="21"/>
        </w:rPr>
        <w:t xml:space="preserve">% sits in NAIC 2. For context, Moody's puts U.S. life insurers' broader private and illiquid fixed-income portfolio — $807bn at YE2025, a wider scope than ours because it includes Schedule BA assets — at 43% NAIC 2 and 9% below investment grade, versus 36% and 5% for the industry's total bond portfolio. The direction is the same in both data sets: private holdings skew toward the lower end of investment grade.</w:t>
      </w:r>
    </w:p>
    <w:p>
      <w:pPr>
        <w:pStyle w:val="Heading3"/>
        <w:spacing w:after="80" w:before="180"/>
      </w:pPr>
      <w:r>
        <w:t xml:space="preserve">Designation migration since year-end</w:t>
      </w:r>
    </w:p>
    <w:p>
      <w:pPr>
        <w:spacing w:after="120" w:line="276"/>
      </w:pPr>
      <w:r>
        <w:rPr>
          <w:rFonts w:ascii="Calibri" w:cs="Calibri" w:eastAsia="Calibri" w:hAnsi="Calibri"/>
          <w:sz w:val="21"/>
          <w:szCs w:val="21"/>
        </w:rPr>
        <w:t xml:space="preserve">The YE2025 snapshot is refreshed annually, but NAIC designations are updated quarterly, so we track how holdings move between designation buckets during the year. Rows are the YE2025 bucket; columns are the latest bucket.</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580"/>
        <w:gridCol w:w="1500"/>
        <w:gridCol w:w="1500"/>
        <w:gridCol w:w="1500"/>
        <w:gridCol w:w="1500"/>
        <w:gridCol w:w="1500"/>
      </w:tblGrid>
      <w:tr>
        <w:trPr>
          <w:cantSplit/>
          <w:tblHeader/>
        </w:trPr>
        <w:tc>
          <w:tcPr>
            <w:tcW w:type="dxa" w:w="2580"/>
            <w:shd w:fill="1F3864" w:color="auto" w:val="clear"/>
            <w:tcMar>
              <w:top w:type="dxa" w:w="60"/>
              <w:left w:type="dxa" w:w="100"/>
              <w:bottom w:type="dxa" w:w="60"/>
              <w:right w:type="dxa" w:w="100"/>
            </w:tcMar>
          </w:tcPr>
          <w:p>
            <w:pPr>
              <w:keepNext/>
              <w:keepLines/>
              <w:spacing w:after="0" w:line="252"/>
            </w:pPr>
            <w:r>
              <w:rPr>
                <w:rFonts w:ascii="Calibri" w:cs="Calibri" w:eastAsia="Calibri" w:hAnsi="Calibri"/>
                <w:b/>
                <w:bCs/>
                <w:color w:val="FFFFFF"/>
                <w:sz w:val="20"/>
                <w:szCs w:val="20"/>
              </w:rPr>
              <w:t xml:space="preserve">YE2025 ↓  /  </w:t>
            </w:r>
            <w:r>
              <w:rPr>
                <w:rFonts w:ascii="Calibri" w:cs="Calibri" w:eastAsia="Calibri" w:hAnsi="Calibri"/>
                <w:b/>
                <w:bCs/>
                <w:color w:val="1F1F1F"/>
                <w:sz w:val="20"/>
                <w:szCs w:val="20"/>
                <w:highlight w:val="yellow"/>
                <w:highlightCs w:val="yellow"/>
              </w:rPr>
              <w:t xml:space="preserve">2026Q2</w:t>
            </w:r>
            <w:r>
              <w:rPr>
                <w:rFonts w:ascii="Calibri" w:cs="Calibri" w:eastAsia="Calibri" w:hAnsi="Calibri"/>
                <w:b/>
                <w:bCs/>
                <w:color w:val="FFFFFF"/>
                <w:sz w:val="20"/>
                <w:szCs w:val="20"/>
              </w:rPr>
              <w:t xml:space="preserve"> →</w:t>
            </w:r>
          </w:p>
        </w:tc>
        <w:tc>
          <w:tcPr>
            <w:tcW w:type="dxa" w:w="1500"/>
            <w:shd w:fill="1F3864"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color w:val="FFFFFF"/>
                <w:sz w:val="20"/>
                <w:szCs w:val="20"/>
              </w:rPr>
              <w:t xml:space="preserve">NAIC 1</w:t>
            </w:r>
          </w:p>
        </w:tc>
        <w:tc>
          <w:tcPr>
            <w:tcW w:type="dxa" w:w="1500"/>
            <w:shd w:fill="1F3864"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color w:val="FFFFFF"/>
                <w:sz w:val="20"/>
                <w:szCs w:val="20"/>
              </w:rPr>
              <w:t xml:space="preserve">NAIC 2</w:t>
            </w:r>
          </w:p>
        </w:tc>
        <w:tc>
          <w:tcPr>
            <w:tcW w:type="dxa" w:w="1500"/>
            <w:shd w:fill="1F3864"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color w:val="FFFFFF"/>
                <w:sz w:val="20"/>
                <w:szCs w:val="20"/>
              </w:rPr>
              <w:t xml:space="preserve">NAIC 3–6</w:t>
            </w:r>
          </w:p>
        </w:tc>
        <w:tc>
          <w:tcPr>
            <w:tcW w:type="dxa" w:w="1500"/>
            <w:shd w:fill="1F3864"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color w:val="FFFFFF"/>
                <w:sz w:val="20"/>
                <w:szCs w:val="20"/>
              </w:rPr>
              <w:t xml:space="preserve">Not desig.</w:t>
            </w:r>
          </w:p>
        </w:tc>
        <w:tc>
          <w:tcPr>
            <w:tcW w:type="dxa" w:w="1500"/>
            <w:shd w:fill="1F3864"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color w:val="FFFFFF"/>
                <w:sz w:val="20"/>
                <w:szCs w:val="20"/>
              </w:rPr>
              <w:t xml:space="preserve">Disposed</w:t>
            </w:r>
          </w:p>
        </w:tc>
      </w:tr>
      <w:tr>
        <w:trPr>
          <w:cantSplit/>
        </w:trPr>
        <w:tc>
          <w:tcPr>
            <w:tcW w:type="dxa" w:w="2580"/>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NAIC 1</w:t>
            </w:r>
          </w:p>
        </w:tc>
        <w:tc>
          <w:tcPr>
            <w:tcW w:type="dxa" w:w="15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r>
      <w:tr>
        <w:trPr>
          <w:cantSplit/>
        </w:trPr>
        <w:tc>
          <w:tcPr>
            <w:tcW w:type="dxa" w:w="2580"/>
            <w:shd w:fill="F2F2F2" w:color="auto" w:val="clear"/>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NAIC 2</w:t>
            </w:r>
          </w:p>
        </w:tc>
        <w:tc>
          <w:tcPr>
            <w:tcW w:type="dxa" w:w="1500"/>
            <w:shd w:fill="F2F2F2"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shd w:fill="F2F2F2"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shd w:fill="F2F2F2"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shd w:fill="F2F2F2"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shd w:fill="F2F2F2" w:color="auto" w:val="clear"/>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r>
      <w:tr>
        <w:trPr>
          <w:cantSplit/>
        </w:trPr>
        <w:tc>
          <w:tcPr>
            <w:tcW w:type="dxa" w:w="2580"/>
            <w:tcMar>
              <w:top w:type="dxa" w:w="60"/>
              <w:left w:type="dxa" w:w="100"/>
              <w:bottom w:type="dxa" w:w="60"/>
              <w:right w:type="dxa" w:w="100"/>
            </w:tcMar>
          </w:tcPr>
          <w:p>
            <w:pPr>
              <w:keepNext/>
              <w:keepLines/>
              <w:spacing w:after="0" w:line="252"/>
            </w:pPr>
            <w:r>
              <w:rPr>
                <w:rFonts w:ascii="Calibri" w:cs="Calibri" w:eastAsia="Calibri" w:hAnsi="Calibri"/>
                <w:b/>
                <w:bCs/>
                <w:sz w:val="20"/>
                <w:szCs w:val="20"/>
              </w:rPr>
              <w:t xml:space="preserve">NAIC 3–6</w:t>
            </w:r>
          </w:p>
        </w:tc>
        <w:tc>
          <w:tcPr>
            <w:tcW w:type="dxa" w:w="15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c>
          <w:tcPr>
            <w:tcW w:type="dxa" w:w="1500"/>
            <w:tcMar>
              <w:top w:type="dxa" w:w="60"/>
              <w:left w:type="dxa" w:w="100"/>
              <w:bottom w:type="dxa" w:w="60"/>
              <w:right w:type="dxa" w:w="100"/>
            </w:tcMar>
          </w:tcPr>
          <w:p>
            <w:pPr>
              <w:keepNext/>
              <w:keepLines/>
              <w:spacing w:after="0" w:line="252"/>
              <w:jc w:val="right"/>
            </w:pPr>
            <w:r>
              <w:rPr>
                <w:rFonts w:ascii="Calibri" w:cs="Calibri" w:eastAsia="Calibri" w:hAnsi="Calibri"/>
                <w:b/>
                <w:bCs/>
                <w:sz w:val="20"/>
                <w:szCs w:val="20"/>
                <w:highlight w:val="yellow"/>
                <w:highlightCs w:val="yellow"/>
              </w:rPr>
              <w:t xml:space="preserve">x.x</w:t>
            </w:r>
          </w:p>
        </w:tc>
      </w:tr>
      <w:tr>
        <w:trPr>
          <w:cantSplit/>
        </w:trPr>
        <w:tc>
          <w:tcPr>
            <w:tcW w:type="dxa" w:w="2580"/>
            <w:shd w:fill="F2F2F2" w:color="auto" w:val="clear"/>
            <w:tcMar>
              <w:top w:type="dxa" w:w="60"/>
              <w:left w:type="dxa" w:w="100"/>
              <w:bottom w:type="dxa" w:w="60"/>
              <w:right w:type="dxa" w:w="100"/>
            </w:tcMar>
          </w:tcPr>
          <w:p>
            <w:pPr>
              <w:keepNext w:val="false"/>
              <w:keepLines/>
              <w:spacing w:after="0" w:line="252"/>
            </w:pPr>
            <w:r>
              <w:rPr>
                <w:rFonts w:ascii="Calibri" w:cs="Calibri" w:eastAsia="Calibri" w:hAnsi="Calibri"/>
                <w:b/>
                <w:bCs/>
                <w:sz w:val="20"/>
                <w:szCs w:val="20"/>
              </w:rPr>
              <w:t xml:space="preserve">Not designated</w:t>
            </w:r>
          </w:p>
        </w:tc>
        <w:tc>
          <w:tcPr>
            <w:tcW w:type="dxa" w:w="1500"/>
            <w:shd w:fill="F2F2F2" w:color="auto" w:val="clear"/>
            <w:tcMar>
              <w:top w:type="dxa" w:w="60"/>
              <w:left w:type="dxa" w:w="100"/>
              <w:bottom w:type="dxa" w:w="60"/>
              <w:right w:type="dxa" w:w="100"/>
            </w:tcMar>
          </w:tcPr>
          <w:p>
            <w:pPr>
              <w:keepNext w:val="false"/>
              <w:keepLines/>
              <w:spacing w:after="0" w:line="252"/>
              <w:jc w:val="right"/>
            </w:pPr>
            <w:r>
              <w:rPr>
                <w:rFonts w:ascii="Calibri" w:cs="Calibri" w:eastAsia="Calibri" w:hAnsi="Calibri"/>
                <w:b/>
                <w:bCs/>
                <w:sz w:val="20"/>
                <w:szCs w:val="20"/>
                <w:highlight w:val="yellow"/>
                <w:highlightCs w:val="yellow"/>
              </w:rPr>
              <w:t xml:space="preserve">x.x</w:t>
            </w:r>
          </w:p>
        </w:tc>
        <w:tc>
          <w:tcPr>
            <w:tcW w:type="dxa" w:w="1500"/>
            <w:shd w:fill="F2F2F2" w:color="auto" w:val="clear"/>
            <w:tcMar>
              <w:top w:type="dxa" w:w="60"/>
              <w:left w:type="dxa" w:w="100"/>
              <w:bottom w:type="dxa" w:w="60"/>
              <w:right w:type="dxa" w:w="100"/>
            </w:tcMar>
          </w:tcPr>
          <w:p>
            <w:pPr>
              <w:keepNext w:val="false"/>
              <w:keepLines/>
              <w:spacing w:after="0" w:line="252"/>
              <w:jc w:val="right"/>
            </w:pPr>
            <w:r>
              <w:rPr>
                <w:rFonts w:ascii="Calibri" w:cs="Calibri" w:eastAsia="Calibri" w:hAnsi="Calibri"/>
                <w:b/>
                <w:bCs/>
                <w:sz w:val="20"/>
                <w:szCs w:val="20"/>
                <w:highlight w:val="yellow"/>
                <w:highlightCs w:val="yellow"/>
              </w:rPr>
              <w:t xml:space="preserve">x.x</w:t>
            </w:r>
          </w:p>
        </w:tc>
        <w:tc>
          <w:tcPr>
            <w:tcW w:type="dxa" w:w="1500"/>
            <w:shd w:fill="F2F2F2" w:color="auto" w:val="clear"/>
            <w:tcMar>
              <w:top w:type="dxa" w:w="60"/>
              <w:left w:type="dxa" w:w="100"/>
              <w:bottom w:type="dxa" w:w="60"/>
              <w:right w:type="dxa" w:w="100"/>
            </w:tcMar>
          </w:tcPr>
          <w:p>
            <w:pPr>
              <w:keepNext w:val="false"/>
              <w:keepLines/>
              <w:spacing w:after="0" w:line="252"/>
              <w:jc w:val="right"/>
            </w:pPr>
            <w:r>
              <w:rPr>
                <w:rFonts w:ascii="Calibri" w:cs="Calibri" w:eastAsia="Calibri" w:hAnsi="Calibri"/>
                <w:b/>
                <w:bCs/>
                <w:sz w:val="20"/>
                <w:szCs w:val="20"/>
                <w:highlight w:val="yellow"/>
                <w:highlightCs w:val="yellow"/>
              </w:rPr>
              <w:t xml:space="preserve">x.x</w:t>
            </w:r>
          </w:p>
        </w:tc>
        <w:tc>
          <w:tcPr>
            <w:tcW w:type="dxa" w:w="1500"/>
            <w:shd w:fill="F2F2F2" w:color="auto" w:val="clear"/>
            <w:tcMar>
              <w:top w:type="dxa" w:w="60"/>
              <w:left w:type="dxa" w:w="100"/>
              <w:bottom w:type="dxa" w:w="60"/>
              <w:right w:type="dxa" w:w="100"/>
            </w:tcMar>
          </w:tcPr>
          <w:p>
            <w:pPr>
              <w:keepNext w:val="false"/>
              <w:keepLines/>
              <w:spacing w:after="0" w:line="252"/>
              <w:jc w:val="right"/>
            </w:pPr>
            <w:r>
              <w:rPr>
                <w:rFonts w:ascii="Calibri" w:cs="Calibri" w:eastAsia="Calibri" w:hAnsi="Calibri"/>
                <w:b/>
                <w:bCs/>
                <w:sz w:val="20"/>
                <w:szCs w:val="20"/>
                <w:highlight w:val="yellow"/>
                <w:highlightCs w:val="yellow"/>
              </w:rPr>
              <w:t xml:space="preserve">x.x</w:t>
            </w:r>
          </w:p>
        </w:tc>
        <w:tc>
          <w:tcPr>
            <w:tcW w:type="dxa" w:w="1500"/>
            <w:shd w:fill="F2F2F2" w:color="auto" w:val="clear"/>
            <w:tcMar>
              <w:top w:type="dxa" w:w="60"/>
              <w:left w:type="dxa" w:w="100"/>
              <w:bottom w:type="dxa" w:w="60"/>
              <w:right w:type="dxa" w:w="100"/>
            </w:tcMar>
          </w:tcPr>
          <w:p>
            <w:pPr>
              <w:keepNext w:val="false"/>
              <w:keepLines/>
              <w:spacing w:after="0" w:line="252"/>
              <w:jc w:val="right"/>
            </w:pPr>
            <w:r>
              <w:rPr>
                <w:rFonts w:ascii="Calibri" w:cs="Calibri" w:eastAsia="Calibri" w:hAnsi="Calibri"/>
                <w:b/>
                <w:bCs/>
                <w:sz w:val="20"/>
                <w:szCs w:val="20"/>
                <w:highlight w:val="yellow"/>
                <w:highlightCs w:val="yellow"/>
              </w:rPr>
              <w:t xml:space="preserve">x.x</w:t>
            </w:r>
          </w:p>
        </w:tc>
      </w:tr>
    </w:tbl>
    <w:p>
      <w:pPr>
        <w:spacing w:after="100" w:before="40"/>
      </w:pPr>
      <w:r>
        <w:rPr>
          <w:rFonts w:ascii="Calibri" w:cs="Calibri" w:eastAsia="Calibri" w:hAnsi="Calibri"/>
          <w:i/>
          <w:iCs/>
          <w:color w:val="595959"/>
          <w:sz w:val="18"/>
          <w:szCs w:val="18"/>
        </w:rPr>
        <w:t xml:space="preserve">PP BACV, $bn. Off-diagonal cells above the diagonal = downgrades. “Disposed” = no designation reported in the latest quarter (position sold or matured).</w:t>
      </w:r>
    </w:p>
    <w:tbl>
      <w:tblPr>
        <w:tblW w:type="dxa" w:w="10080"/>
        <w:tblBorders>
          <w:top w:val="none" w:sz="0"/>
          <w:left w:val="none" w:sz="0"/>
          <w:bottom w:val="none" w:sz="0"/>
          <w:right w:val="none" w:sz="0"/>
          <w:insideH w:val="none" w:sz="0"/>
          <w:insideV w:val="single" w:color="FFFFFF" w:sz="12"/>
        </w:tblBorders>
      </w:tblPr>
      <w:tblGrid>
        <w:gridCol w:w="2520"/>
        <w:gridCol w:w="2520"/>
        <w:gridCol w:w="2520"/>
        <w:gridCol w:w="2520"/>
      </w:tblGrid>
      <w:tr>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rPr>
              <w:t xml:space="preserve">$</w:t>
            </w:r>
            <w:r>
              <w:rPr>
                <w:rFonts w:ascii="Calibri" w:cs="Calibri" w:eastAsia="Calibri" w:hAnsi="Calibri"/>
                <w:b/>
                <w:bCs/>
                <w:color w:val="1F3864"/>
                <w:sz w:val="30"/>
                <w:szCs w:val="30"/>
                <w:highlight w:val="yellow"/>
                <w:highlightCs w:val="yellow"/>
              </w:rPr>
              <w:t xml:space="preserve">X.X</w:t>
            </w:r>
            <w:r>
              <w:rPr>
                <w:rFonts w:ascii="Calibri" w:cs="Calibri" w:eastAsia="Calibri" w:hAnsi="Calibri"/>
                <w:b/>
                <w:bCs/>
                <w:color w:val="1F3864"/>
                <w:sz w:val="30"/>
                <w:szCs w:val="30"/>
              </w:rPr>
              <w:t xml:space="preserve">bn</w:t>
            </w:r>
          </w:p>
          <w:p>
            <w:pPr>
              <w:spacing w:after="0"/>
              <w:jc w:val="center"/>
            </w:pPr>
            <w:r>
              <w:rPr>
                <w:rFonts w:ascii="Calibri" w:cs="Calibri" w:eastAsia="Calibri" w:hAnsi="Calibri"/>
                <w:color w:val="595959"/>
                <w:sz w:val="18"/>
                <w:szCs w:val="18"/>
              </w:rPr>
              <w:t xml:space="preserve">BACV migrated to a weaker bucket</w:t>
            </w:r>
          </w:p>
        </w:tc>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highlight w:val="yellow"/>
                <w:highlightCs w:val="yellow"/>
              </w:rPr>
              <w:t xml:space="preserve">X.X</w:t>
            </w:r>
            <w:r>
              <w:rPr>
                <w:rFonts w:ascii="Calibri" w:cs="Calibri" w:eastAsia="Calibri" w:hAnsi="Calibri"/>
                <w:b/>
                <w:bCs/>
                <w:color w:val="1F3864"/>
                <w:sz w:val="30"/>
                <w:szCs w:val="30"/>
              </w:rPr>
              <w:t xml:space="preserve">%</w:t>
            </w:r>
          </w:p>
          <w:p>
            <w:pPr>
              <w:spacing w:after="0"/>
              <w:jc w:val="center"/>
            </w:pPr>
            <w:r>
              <w:rPr>
                <w:rFonts w:ascii="Calibri" w:cs="Calibri" w:eastAsia="Calibri" w:hAnsi="Calibri"/>
                <w:color w:val="595959"/>
                <w:sz w:val="18"/>
                <w:szCs w:val="18"/>
              </w:rPr>
              <w:t xml:space="preserve">of PP BACV</w:t>
            </w:r>
          </w:p>
        </w:tc>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highlight w:val="yellow"/>
                <w:highlightCs w:val="yellow"/>
              </w:rPr>
              <w:t xml:space="preserve">XX</w:t>
            </w:r>
          </w:p>
          <w:p>
            <w:pPr>
              <w:spacing w:after="0"/>
              <w:jc w:val="center"/>
            </w:pPr>
            <w:r>
              <w:rPr>
                <w:rFonts w:ascii="Calibri" w:cs="Calibri" w:eastAsia="Calibri" w:hAnsi="Calibri"/>
                <w:color w:val="595959"/>
                <w:sz w:val="18"/>
                <w:szCs w:val="18"/>
              </w:rPr>
              <w:t xml:space="preserve">issuers downgraded</w:t>
            </w:r>
          </w:p>
        </w:tc>
        <w:tc>
          <w:tcPr>
            <w:tcW w:type="dxa" w:w="2520"/>
            <w:shd w:fill="EAF1FB" w:color="auto" w:val="clear"/>
            <w:tcMar>
              <w:top w:type="dxa" w:w="120"/>
              <w:left w:type="dxa" w:w="120"/>
              <w:bottom w:type="dxa" w:w="120"/>
              <w:right w:type="dxa" w:w="120"/>
            </w:tcMar>
          </w:tcPr>
          <w:p>
            <w:pPr>
              <w:spacing w:after="40"/>
              <w:jc w:val="center"/>
            </w:pPr>
            <w:r>
              <w:rPr>
                <w:rFonts w:ascii="Calibri" w:cs="Calibri" w:eastAsia="Calibri" w:hAnsi="Calibri"/>
                <w:b/>
                <w:bCs/>
                <w:color w:val="1F3864"/>
                <w:sz w:val="30"/>
                <w:szCs w:val="30"/>
              </w:rPr>
              <w:t xml:space="preserve">$</w:t>
            </w:r>
            <w:r>
              <w:rPr>
                <w:rFonts w:ascii="Calibri" w:cs="Calibri" w:eastAsia="Calibri" w:hAnsi="Calibri"/>
                <w:b/>
                <w:bCs/>
                <w:color w:val="1F3864"/>
                <w:sz w:val="30"/>
                <w:szCs w:val="30"/>
                <w:highlight w:val="yellow"/>
                <w:highlightCs w:val="yellow"/>
              </w:rPr>
              <w:t xml:space="preserve">X.X</w:t>
            </w:r>
            <w:r>
              <w:rPr>
                <w:rFonts w:ascii="Calibri" w:cs="Calibri" w:eastAsia="Calibri" w:hAnsi="Calibri"/>
                <w:b/>
                <w:bCs/>
                <w:color w:val="1F3864"/>
                <w:sz w:val="30"/>
                <w:szCs w:val="30"/>
              </w:rPr>
              <w:t xml:space="preserve">bn</w:t>
            </w:r>
          </w:p>
          <w:p>
            <w:pPr>
              <w:spacing w:after="0"/>
              <w:jc w:val="center"/>
            </w:pPr>
            <w:r>
              <w:rPr>
                <w:rFonts w:ascii="Calibri" w:cs="Calibri" w:eastAsia="Calibri" w:hAnsi="Calibri"/>
                <w:color w:val="595959"/>
                <w:sz w:val="18"/>
                <w:szCs w:val="18"/>
              </w:rPr>
              <w:t xml:space="preserve">disposed since YE2025</w:t>
            </w:r>
          </w:p>
        </w:tc>
      </w:tr>
    </w:tbl>
    <w:p>
      <w:pPr>
        <w:spacing w:after="100"/>
      </w:pPr>
    </w:p>
    <w:p>
      <w:pPr>
        <w:spacing w:after="120" w:line="276"/>
      </w:pPr>
      <w:r>
        <w:rPr>
          <w:rFonts w:ascii="Calibri" w:cs="Calibri" w:eastAsia="Calibri" w:hAnsi="Calibri"/>
          <w:sz w:val="21"/>
          <w:szCs w:val="21"/>
        </w:rPr>
        <w:t xml:space="preserve">Between YE2025 and </w:t>
      </w:r>
      <w:r>
        <w:rPr>
          <w:rFonts w:ascii="Calibri" w:cs="Calibri" w:eastAsia="Calibri" w:hAnsi="Calibri"/>
          <w:b/>
          <w:bCs/>
          <w:sz w:val="21"/>
          <w:szCs w:val="21"/>
          <w:highlight w:val="yellow"/>
          <w:highlightCs w:val="yellow"/>
        </w:rPr>
        <w:t xml:space="preserve">2026Q2</w:t>
      </w:r>
      <w:r>
        <w:rPr>
          <w:rFonts w:ascii="Calibri" w:cs="Calibri" w:eastAsia="Calibri" w:hAnsi="Calibri"/>
          <w:sz w:val="21"/>
          <w:szCs w:val="21"/>
        </w:rPr>
        <w:t xml:space="preserve">, $</w:t>
      </w:r>
      <w:r>
        <w:rPr>
          <w:rFonts w:ascii="Calibri" w:cs="Calibri" w:eastAsia="Calibri" w:hAnsi="Calibri"/>
          <w:b/>
          <w:bCs/>
          <w:sz w:val="21"/>
          <w:szCs w:val="21"/>
          <w:highlight w:val="yellow"/>
          <w:highlightCs w:val="yellow"/>
        </w:rPr>
        <w:t xml:space="preserve">X.X</w:t>
      </w:r>
      <w:r>
        <w:rPr>
          <w:rFonts w:ascii="Calibri" w:cs="Calibri" w:eastAsia="Calibri" w:hAnsi="Calibri"/>
          <w:sz w:val="21"/>
          <w:szCs w:val="21"/>
        </w:rPr>
        <w:t xml:space="preserve">bn of PP BACV (</w:t>
      </w:r>
      <w:r>
        <w:rPr>
          <w:rFonts w:ascii="Calibri" w:cs="Calibri" w:eastAsia="Calibri" w:hAnsi="Calibri"/>
          <w:b/>
          <w:bCs/>
          <w:sz w:val="21"/>
          <w:szCs w:val="21"/>
          <w:highlight w:val="yellow"/>
          <w:highlightCs w:val="yellow"/>
        </w:rPr>
        <w:t xml:space="preserve">X.X</w:t>
      </w:r>
      <w:r>
        <w:rPr>
          <w:rFonts w:ascii="Calibri" w:cs="Calibri" w:eastAsia="Calibri" w:hAnsi="Calibri"/>
          <w:sz w:val="21"/>
          <w:szCs w:val="21"/>
        </w:rPr>
        <w:t xml:space="preserve">% of the total) migrated to a weaker NAIC bucket, and $</w:t>
      </w:r>
      <w:r>
        <w:rPr>
          <w:rFonts w:ascii="Calibri" w:cs="Calibri" w:eastAsia="Calibri" w:hAnsi="Calibri"/>
          <w:b/>
          <w:bCs/>
          <w:sz w:val="21"/>
          <w:szCs w:val="21"/>
          <w:highlight w:val="yellow"/>
          <w:highlightCs w:val="yellow"/>
        </w:rPr>
        <w:t xml:space="preserve">X.X</w:t>
      </w:r>
      <w:r>
        <w:rPr>
          <w:rFonts w:ascii="Calibri" w:cs="Calibri" w:eastAsia="Calibri" w:hAnsi="Calibri"/>
          <w:sz w:val="21"/>
          <w:szCs w:val="21"/>
        </w:rPr>
        <w:t xml:space="preserve">bn was disposed. Most PL ratings are refreshed annually at year-end, so mid-year migration is typically small; treat this as an early read. We will publish the matrix every quarter — the off-diagonal cells are the insurance-side early-warning signal.</w:t>
      </w:r>
    </w:p>
    <w:p>
      <w:pPr>
        <w:spacing w:after="120" w:line="264"/>
      </w:pPr>
      <w:r>
        <w:rPr>
          <w:rFonts w:ascii="Calibri" w:cs="Calibri" w:eastAsia="Calibri" w:hAnsi="Calibri"/>
          <w:b/>
          <w:bCs/>
          <w:i/>
          <w:iCs/>
          <w:color w:val="2E75B6"/>
          <w:sz w:val="19"/>
          <w:szCs w:val="19"/>
        </w:rPr>
        <w:t xml:space="preserve">填写提示 ▸ </w:t>
      </w:r>
      <w:r>
        <w:rPr>
          <w:rFonts w:ascii="Calibri" w:cs="Calibri" w:eastAsia="Calibri" w:hAnsi="Calibri"/>
          <w:i/>
          <w:iCs/>
          <w:color w:val="2E75B6"/>
          <w:sz w:val="19"/>
          <w:szCs w:val="19"/>
        </w:rPr>
        <w:t xml:space="preserve">需要先建 Quarterly Monitor 页（checklist B4，含 Is_Downgraded 辅助列和三个 measure）。矩阵可以直接截图替换上表，或把数字抄进来。</w:t>
      </w:r>
    </w:p>
    <w:p>
      <w:pPr>
        <w:pStyle w:val="Heading1"/>
        <w:spacing w:after="120" w:before="360"/>
      </w:pPr>
      <w:r>
        <w:t xml:space="preserve">2. Market news &amp; research</w:t>
      </w:r>
    </w:p>
    <w:p>
      <w:pPr>
        <w:keepNext/>
        <w:spacing w:after="120" w:line="276"/>
      </w:pPr>
      <w:r>
        <w:rPr>
          <w:rFonts w:ascii="Calibri" w:cs="Calibri" w:eastAsia="Calibri" w:hAnsi="Calibri"/>
          <w:i/>
          <w:iCs/>
          <w:color w:val="595959"/>
          <w:sz w:val="20"/>
          <w:szCs w:val="20"/>
        </w:rPr>
        <w:t xml:space="preserve">Selected because each item speaks directly to a number in Section 1. Internal S&amp;P Global Ratings research is listed first where available.</w:t>
      </w:r>
    </w:p>
    <w:p>
      <w:pPr>
        <w:pStyle w:val="Heading2"/>
        <w:spacing w:after="100" w:before="240"/>
      </w:pPr>
      <w:r>
        <w:t xml:space="preserve">2.1  Banks</w:t>
      </w:r>
    </w:p>
    <w:p>
      <w:pPr>
        <w:keepNext/>
        <w:spacing w:after="40" w:before="140"/>
      </w:pPr>
      <w:r>
        <w:rPr>
          <w:rFonts w:ascii="Calibri" w:cs="Calibri" w:eastAsia="Calibri" w:hAnsi="Calibri"/>
          <w:b/>
          <w:bCs/>
          <w:color w:val="1F3864"/>
          <w:sz w:val="21"/>
          <w:szCs w:val="21"/>
        </w:rPr>
        <w:t xml:space="preserve">Federal Reserve — Senior Loan Officer Opinion Survey, July 2026</w:t>
      </w:r>
      <w:r>
        <w:rPr>
          <w:rFonts w:ascii="Calibri" w:cs="Calibri" w:eastAsia="Calibri" w:hAnsi="Calibri"/>
          <w:color w:val="595959"/>
          <w:sz w:val="19"/>
          <w:szCs w:val="19"/>
        </w:rPr>
        <w:t xml:space="preserve">  —  released 3 August 2026</w:t>
      </w:r>
    </w:p>
    <w:p>
      <w:pPr>
        <w:spacing w:after="40" w:line="276"/>
      </w:pPr>
      <w:r>
        <w:rPr>
          <w:rFonts w:ascii="Calibri" w:cs="Calibri" w:eastAsia="Calibri" w:hAnsi="Calibri"/>
          <w:sz w:val="21"/>
          <w:szCs w:val="21"/>
        </w:rPr>
        <w:t xml:space="preserve">The survey added special questions on the five NDFI loan types. Significant net shares of banks reported that lending standards for every NDFI category — mortgage, business credit, private equity funds, consumer credit and other intermediaries — are at the tighter end of their range since 2011, and tightest during the current period (since 2023).</w:t>
      </w:r>
    </w:p>
    <w:p>
      <w:pPr>
        <w:spacing w:after="120" w:line="264"/>
      </w:pPr>
      <w:r>
        <w:rPr>
          <w:rFonts w:ascii="Calibri" w:cs="Calibri" w:eastAsia="Calibri" w:hAnsi="Calibri"/>
          <w:b/>
          <w:bCs/>
          <w:color w:val="595959"/>
          <w:sz w:val="20"/>
          <w:szCs w:val="20"/>
        </w:rPr>
        <w:t xml:space="preserve">Why it matters: </w:t>
      </w:r>
      <w:r>
        <w:rPr>
          <w:rFonts w:ascii="Calibri" w:cs="Calibri" w:eastAsia="Calibri" w:hAnsi="Calibri"/>
          <w:color w:val="595959"/>
          <w:sz w:val="20"/>
          <w:szCs w:val="20"/>
        </w:rPr>
        <w:t xml:space="preserve">Volumes are rising (Chart 1) while banks say standards are tight. Whether growth continues under tighter standards is the mix to watch next quarter.</w:t>
      </w:r>
    </w:p>
    <w:p>
      <w:pPr>
        <w:keepNext/>
        <w:spacing w:after="40" w:before="140"/>
      </w:pPr>
      <w:r>
        <w:rPr>
          <w:rFonts w:ascii="Calibri" w:cs="Calibri" w:eastAsia="Calibri" w:hAnsi="Calibri"/>
          <w:b/>
          <w:bCs/>
          <w:color w:val="1F3864"/>
          <w:sz w:val="21"/>
          <w:szCs w:val="21"/>
        </w:rPr>
        <w:t xml:space="preserve">FDIC — Quarterly Banking Profile Q2 2026 and 2026 Risk Review</w:t>
      </w:r>
      <w:r>
        <w:rPr>
          <w:rFonts w:ascii="Calibri" w:cs="Calibri" w:eastAsia="Calibri" w:hAnsi="Calibri"/>
          <w:color w:val="595959"/>
          <w:sz w:val="19"/>
          <w:szCs w:val="19"/>
        </w:rPr>
        <w:t xml:space="preserve">  —  QBP released 27 August 2026</w:t>
      </w:r>
    </w:p>
    <w:p>
      <w:pPr>
        <w:spacing w:after="40" w:line="276"/>
      </w:pPr>
      <w:r>
        <w:rPr>
          <w:rFonts w:ascii="Calibri" w:cs="Calibri" w:eastAsia="Calibri" w:hAnsi="Calibri"/>
          <w:sz w:val="21"/>
          <w:szCs w:val="21"/>
        </w:rPr>
        <w:t xml:space="preserve">Industry NDFI loans rose $279bn (+22.4% year-on-year) in Q2 2026 against total loan growth of 6.8%. The Risk Review puts NDFI loans at $1.4T at YE2025 (5.6% of industry assets), 86% held by banks above $100bn in assets and 66% by the ten largest; past-due and non-accrual rates are 0.15% versus 1.39% for C&amp;I loans.</w:t>
      </w:r>
    </w:p>
    <w:p>
      <w:pPr>
        <w:spacing w:after="120" w:line="264"/>
      </w:pPr>
      <w:r>
        <w:rPr>
          <w:rFonts w:ascii="Calibri" w:cs="Calibri" w:eastAsia="Calibri" w:hAnsi="Calibri"/>
          <w:b/>
          <w:bCs/>
          <w:color w:val="595959"/>
          <w:sz w:val="20"/>
          <w:szCs w:val="20"/>
        </w:rPr>
        <w:t xml:space="preserve">Why it matters: </w:t>
      </w:r>
      <w:r>
        <w:rPr>
          <w:rFonts w:ascii="Calibri" w:cs="Calibri" w:eastAsia="Calibri" w:hAnsi="Calibri"/>
          <w:color w:val="595959"/>
          <w:sz w:val="20"/>
          <w:szCs w:val="20"/>
        </w:rPr>
        <w:t xml:space="preserve">The industry benchmark for our rated-universe figures, and the reminder that reported credit performance on NDFI loans remains near-pristine even as borrower-level defaults rise.</w:t>
      </w:r>
    </w:p>
    <w:p>
      <w:pPr>
        <w:keepNext/>
        <w:spacing w:after="40" w:before="140"/>
      </w:pPr>
      <w:r>
        <w:rPr>
          <w:rFonts w:ascii="Calibri" w:cs="Calibri" w:eastAsia="Calibri" w:hAnsi="Calibri"/>
          <w:b/>
          <w:bCs/>
          <w:color w:val="1F3864"/>
          <w:sz w:val="21"/>
          <w:szCs w:val="21"/>
        </w:rPr>
        <w:t xml:space="preserve">Federal Reserve — Financial Stability Report, May 2026 (Box 4.1, “Developments in Private Credit”)</w:t>
      </w:r>
      <w:r>
        <w:rPr>
          <w:rFonts w:ascii="Calibri" w:cs="Calibri" w:eastAsia="Calibri" w:hAnsi="Calibri"/>
          <w:color w:val="595959"/>
          <w:sz w:val="19"/>
          <w:szCs w:val="19"/>
        </w:rPr>
        <w:t xml:space="preserve">  —  released 8 May 2026</w:t>
      </w:r>
    </w:p>
    <w:p>
      <w:pPr>
        <w:spacing w:after="40" w:line="276"/>
      </w:pPr>
      <w:r>
        <w:rPr>
          <w:rFonts w:ascii="Calibri" w:cs="Calibri" w:eastAsia="Calibri" w:hAnsi="Calibri"/>
          <w:sz w:val="21"/>
          <w:szCs w:val="21"/>
        </w:rPr>
        <w:t xml:space="preserve">Semi-liquid vehicles (perpetual BDCs and interval funds, $425bn gross assets) saw accepted redemption requests exceed new inflows in Q1 2026 for the first time; most managers capped redemptions at 5% of NAV. For the ten largest perpetual BDCs, available bank credit lines plus cash cover at least three quarters of net redemptions at that level. Banks continued to increase commitments to private credit funds through Q4 2025.</w:t>
      </w:r>
    </w:p>
    <w:p>
      <w:pPr>
        <w:spacing w:after="120" w:line="264"/>
      </w:pPr>
      <w:r>
        <w:rPr>
          <w:rFonts w:ascii="Calibri" w:cs="Calibri" w:eastAsia="Calibri" w:hAnsi="Calibri"/>
          <w:b/>
          <w:bCs/>
          <w:color w:val="595959"/>
          <w:sz w:val="20"/>
          <w:szCs w:val="20"/>
        </w:rPr>
        <w:t xml:space="preserve">Why it matters: </w:t>
      </w:r>
      <w:r>
        <w:rPr>
          <w:rFonts w:ascii="Calibri" w:cs="Calibri" w:eastAsia="Calibri" w:hAnsi="Calibri"/>
          <w:color w:val="595959"/>
          <w:sz w:val="20"/>
          <w:szCs w:val="20"/>
        </w:rPr>
        <w:t xml:space="preserve">Bank credit lines are the liquidity backstop for private credit funds — the mechanism that turns a fund-level redemption cycle into drawn balances on the BCI line we track.</w:t>
      </w:r>
    </w:p>
    <w:p>
      <w:pPr>
        <w:keepNext/>
        <w:spacing w:after="40" w:before="140"/>
      </w:pPr>
      <w:r>
        <w:rPr>
          <w:rFonts w:ascii="Calibri" w:cs="Calibri" w:eastAsia="Calibri" w:hAnsi="Calibri"/>
          <w:b/>
          <w:bCs/>
          <w:color w:val="1F3864"/>
          <w:sz w:val="21"/>
          <w:szCs w:val="21"/>
        </w:rPr>
        <w:t xml:space="preserve">Fitch Ratings — U.S. Private Credit Default Rate, Q2 2026</w:t>
      </w:r>
      <w:r>
        <w:rPr>
          <w:rFonts w:ascii="Calibri" w:cs="Calibri" w:eastAsia="Calibri" w:hAnsi="Calibri"/>
          <w:color w:val="595959"/>
          <w:sz w:val="19"/>
          <w:szCs w:val="19"/>
        </w:rPr>
        <w:t xml:space="preserve">  —  30 July 2026</w:t>
      </w:r>
    </w:p>
    <w:p>
      <w:pPr>
        <w:spacing w:after="40" w:line="276"/>
      </w:pPr>
      <w:r>
        <w:rPr>
          <w:rFonts w:ascii="Calibri" w:cs="Calibri" w:eastAsia="Calibri" w:hAnsi="Calibri"/>
          <w:sz w:val="21"/>
          <w:szCs w:val="21"/>
        </w:rPr>
        <w:t xml:space="preserve">The trailing-twelve-month default rate reached 6.0%, a record, up from 5.7% in Q1 2026, on 32 default events; more than half were maturity extensions rather than payment defaults. Industrials and healthcare led; software was the lowest among large sectors at 1.2%. The rate remained at its record level in July.</w:t>
      </w:r>
    </w:p>
    <w:p>
      <w:pPr>
        <w:spacing w:after="120" w:line="264"/>
      </w:pPr>
      <w:r>
        <w:rPr>
          <w:rFonts w:ascii="Calibri" w:cs="Calibri" w:eastAsia="Calibri" w:hAnsi="Calibri"/>
          <w:b/>
          <w:bCs/>
          <w:color w:val="595959"/>
          <w:sz w:val="20"/>
          <w:szCs w:val="20"/>
        </w:rPr>
        <w:t xml:space="preserve">Why it matters: </w:t>
      </w:r>
      <w:r>
        <w:rPr>
          <w:rFonts w:ascii="Calibri" w:cs="Calibri" w:eastAsia="Calibri" w:hAnsi="Calibri"/>
          <w:color w:val="595959"/>
          <w:sz w:val="20"/>
          <w:szCs w:val="20"/>
        </w:rPr>
        <w:t xml:space="preserve">Borrower-level stress is building while banks' NDFI loan performance is unblemished. The gap between the two is what the Monitor is designed to catch early.</w:t>
      </w:r>
    </w:p>
    <w:p>
      <w:pPr>
        <w:keepNext/>
        <w:spacing w:after="40" w:before="140"/>
      </w:pPr>
      <w:r>
        <w:rPr>
          <w:rFonts w:ascii="Calibri" w:cs="Calibri" w:eastAsia="Calibri" w:hAnsi="Calibri"/>
          <w:b/>
          <w:bCs/>
          <w:color w:val="1F3864"/>
          <w:sz w:val="21"/>
          <w:szCs w:val="21"/>
        </w:rPr>
        <w:t xml:space="preserve">S&amp;P Global — internal research</w:t>
      </w:r>
      <w:r>
        <w:rPr>
          <w:rFonts w:ascii="Calibri" w:cs="Calibri" w:eastAsia="Calibri" w:hAnsi="Calibri"/>
          <w:color w:val="595959"/>
          <w:sz w:val="19"/>
          <w:szCs w:val="19"/>
        </w:rPr>
        <w:t xml:space="preserve">  —  [[insert internal links]]</w:t>
      </w:r>
    </w:p>
    <w:p>
      <w:pPr>
        <w:spacing w:after="40" w:line="276"/>
      </w:pPr>
      <w:r>
        <w:rPr>
          <w:rFonts w:ascii="Calibri" w:cs="Calibri" w:eastAsia="Calibri" w:hAnsi="Calibri"/>
          <w:sz w:val="21"/>
          <w:szCs w:val="21"/>
        </w:rPr>
        <w:t xml:space="preserve">S&amp;P Global Market Intelligence's quarterly NDFI lending series (</w:t>
      </w:r>
      <w:r>
        <w:rPr>
          <w:rFonts w:ascii="Calibri" w:cs="Calibri" w:eastAsia="Calibri" w:hAnsi="Calibri"/>
          <w:b/>
          <w:bCs/>
          <w:sz w:val="21"/>
          <w:szCs w:val="21"/>
          <w:highlight w:val="yellow"/>
          <w:highlightCs w:val="yellow"/>
        </w:rPr>
        <w:t xml:space="preserve">Q2 2026 edition</w:t>
      </w:r>
      <w:r>
        <w:rPr>
          <w:rFonts w:ascii="Calibri" w:cs="Calibri" w:eastAsia="Calibri" w:hAnsi="Calibri"/>
          <w:sz w:val="21"/>
          <w:szCs w:val="21"/>
        </w:rPr>
        <w:t xml:space="preserve">) and S&amp;P Global Ratings, “Systemic Risk: U.S. Banks' $1 Trillion In Loans To Nonbanks Like Private Credit Creates Risks And Rewards” (February 2025), which sets out the analytical framework behind the BCI proxy.</w:t>
      </w:r>
    </w:p>
    <w:p>
      <w:pPr>
        <w:spacing w:after="120" w:line="264"/>
      </w:pPr>
      <w:r>
        <w:rPr>
          <w:rFonts w:ascii="Calibri" w:cs="Calibri" w:eastAsia="Calibri" w:hAnsi="Calibri"/>
          <w:b/>
          <w:bCs/>
          <w:color w:val="595959"/>
          <w:sz w:val="20"/>
          <w:szCs w:val="20"/>
        </w:rPr>
        <w:t xml:space="preserve">Why it matters: </w:t>
      </w:r>
      <w:r>
        <w:rPr>
          <w:rFonts w:ascii="Calibri" w:cs="Calibri" w:eastAsia="Calibri" w:hAnsi="Calibri"/>
          <w:color w:val="595959"/>
          <w:sz w:val="20"/>
          <w:szCs w:val="20"/>
        </w:rPr>
        <w:t xml:space="preserve">Methodological anchor for Section 1.1.</w:t>
      </w:r>
    </w:p>
    <w:p>
      <w:pPr>
        <w:spacing w:after="120" w:line="264"/>
      </w:pPr>
      <w:r>
        <w:rPr>
          <w:rFonts w:ascii="Calibri" w:cs="Calibri" w:eastAsia="Calibri" w:hAnsi="Calibri"/>
          <w:b/>
          <w:bCs/>
          <w:i/>
          <w:iCs/>
          <w:color w:val="2E75B6"/>
          <w:sz w:val="19"/>
          <w:szCs w:val="19"/>
        </w:rPr>
        <w:t xml:space="preserve">填写提示 ▸ </w:t>
      </w:r>
      <w:r>
        <w:rPr>
          <w:rFonts w:ascii="Calibri" w:cs="Calibri" w:eastAsia="Calibri" w:hAnsi="Calibri"/>
          <w:i/>
          <w:iCs/>
          <w:color w:val="2E75B6"/>
          <w:sz w:val="19"/>
          <w:szCs w:val="19"/>
        </w:rPr>
        <w:t xml:space="preserve">内网找 S&amp;P MI 的 Q2 2026 NDFI 文章（Q4 2025 篇是 2/26 发的，标题 “US banks' NDFI lending pace reaccelerates in Q4 2025”）和 Ratings 那篇 2025/2 的 Systemic Risk 报告，把链接填进来。</w:t>
      </w:r>
    </w:p>
    <w:p>
      <w:pPr>
        <w:pStyle w:val="Heading2"/>
        <w:spacing w:after="100" w:before="240"/>
      </w:pPr>
      <w:r>
        <w:t xml:space="preserve">2.2  Insurance</w:t>
      </w:r>
    </w:p>
    <w:p>
      <w:pPr>
        <w:keepNext/>
        <w:spacing w:after="40" w:before="140"/>
      </w:pPr>
      <w:r>
        <w:rPr>
          <w:rFonts w:ascii="Calibri" w:cs="Calibri" w:eastAsia="Calibri" w:hAnsi="Calibri"/>
          <w:b/>
          <w:bCs/>
          <w:color w:val="1F3864"/>
          <w:sz w:val="21"/>
          <w:szCs w:val="21"/>
        </w:rPr>
        <w:t xml:space="preserve">S&amp;P Global Ratings — “Scenario Analysis: North American Life Insurers Can Manage Private Credit Market Stress If One Occurs”</w:t>
      </w:r>
      <w:r>
        <w:rPr>
          <w:rFonts w:ascii="Calibri" w:cs="Calibri" w:eastAsia="Calibri" w:hAnsi="Calibri"/>
          <w:color w:val="595959"/>
          <w:sz w:val="19"/>
          <w:szCs w:val="19"/>
        </w:rPr>
        <w:t xml:space="preserve">  —  April 2026  ·  [[insert internal link]]</w:t>
      </w:r>
    </w:p>
    <w:p>
      <w:pPr>
        <w:spacing w:after="40" w:line="276"/>
      </w:pPr>
      <w:r>
        <w:rPr>
          <w:rFonts w:ascii="Calibri" w:cs="Calibri" w:eastAsia="Calibri" w:hAnsi="Calibri"/>
          <w:sz w:val="21"/>
          <w:szCs w:val="21"/>
        </w:rPr>
        <w:t xml:space="preserve">Under a severe stress scenario in which below-investment-grade default rates roughly double their 2008–09 peak, only two rated insurers might face downgrade pressure and about half would see moderate pressure on ratings. See also the “Insurance In Focus: U.S. Private Credit Exposure and Capital Model Comparisons” webinar (19 May 2026).</w:t>
      </w:r>
    </w:p>
    <w:p>
      <w:pPr>
        <w:spacing w:after="120" w:line="264"/>
      </w:pPr>
      <w:r>
        <w:rPr>
          <w:rFonts w:ascii="Calibri" w:cs="Calibri" w:eastAsia="Calibri" w:hAnsi="Calibri"/>
          <w:b/>
          <w:bCs/>
          <w:color w:val="595959"/>
          <w:sz w:val="20"/>
          <w:szCs w:val="20"/>
        </w:rPr>
        <w:t xml:space="preserve">Why it matters: </w:t>
      </w:r>
      <w:r>
        <w:rPr>
          <w:rFonts w:ascii="Calibri" w:cs="Calibri" w:eastAsia="Calibri" w:hAnsi="Calibri"/>
          <w:color w:val="595959"/>
          <w:sz w:val="20"/>
          <w:szCs w:val="20"/>
        </w:rPr>
        <w:t xml:space="preserve">Our house view on the sector's capacity to absorb a private credit stress — the counterweight to the exposure figures in Section 1.2.</w:t>
      </w:r>
    </w:p>
    <w:p>
      <w:pPr>
        <w:keepNext/>
        <w:spacing w:after="40" w:before="140"/>
      </w:pPr>
      <w:r>
        <w:rPr>
          <w:rFonts w:ascii="Calibri" w:cs="Calibri" w:eastAsia="Calibri" w:hAnsi="Calibri"/>
          <w:b/>
          <w:bCs/>
          <w:color w:val="1F3864"/>
          <w:sz w:val="21"/>
          <w:szCs w:val="21"/>
        </w:rPr>
        <w:t xml:space="preserve">S&amp;P Global Market Intelligence — “Private credit exposure grows as insurers eye higher yields, diversification”</w:t>
      </w:r>
      <w:r>
        <w:rPr>
          <w:rFonts w:ascii="Calibri" w:cs="Calibri" w:eastAsia="Calibri" w:hAnsi="Calibri"/>
          <w:color w:val="595959"/>
          <w:sz w:val="19"/>
          <w:szCs w:val="19"/>
        </w:rPr>
        <w:t xml:space="preserve">  —  27 May 2026</w:t>
      </w:r>
    </w:p>
    <w:p>
      <w:pPr>
        <w:spacing w:after="40" w:line="276"/>
      </w:pPr>
      <w:r>
        <w:rPr>
          <w:rFonts w:ascii="Calibri" w:cs="Calibri" w:eastAsia="Calibri" w:hAnsi="Calibri"/>
          <w:sz w:val="21"/>
          <w:szCs w:val="21"/>
        </w:rPr>
        <w:t xml:space="preserve">U.S. life insurers' private placement bonds reached 23.4% of total admitted bonds in 2025, up from 18.3% in 2021 — a five-point increase in four years.</w:t>
      </w:r>
    </w:p>
    <w:p>
      <w:pPr>
        <w:spacing w:after="120" w:line="264"/>
      </w:pPr>
      <w:r>
        <w:rPr>
          <w:rFonts w:ascii="Calibri" w:cs="Calibri" w:eastAsia="Calibri" w:hAnsi="Calibri"/>
          <w:b/>
          <w:bCs/>
          <w:color w:val="595959"/>
          <w:sz w:val="20"/>
          <w:szCs w:val="20"/>
        </w:rPr>
        <w:t xml:space="preserve">Why it matters: </w:t>
      </w:r>
      <w:r>
        <w:rPr>
          <w:rFonts w:ascii="Calibri" w:cs="Calibri" w:eastAsia="Calibri" w:hAnsi="Calibri"/>
          <w:color w:val="595959"/>
          <w:sz w:val="20"/>
          <w:szCs w:val="20"/>
        </w:rPr>
        <w:t xml:space="preserve">The multi-year growth trend on which our YE2025 baseline sits; we will build our own time series as annual snapshots accumulate.</w:t>
      </w:r>
    </w:p>
    <w:p>
      <w:pPr>
        <w:keepNext/>
        <w:spacing w:after="40" w:before="140"/>
      </w:pPr>
      <w:r>
        <w:rPr>
          <w:rFonts w:ascii="Calibri" w:cs="Calibri" w:eastAsia="Calibri" w:hAnsi="Calibri"/>
          <w:b/>
          <w:bCs/>
          <w:color w:val="1F3864"/>
          <w:sz w:val="21"/>
          <w:szCs w:val="21"/>
        </w:rPr>
        <w:t xml:space="preserve">Moody's — U.S. life insurers' private credit push creates liquidity and concentration risks</w:t>
      </w:r>
      <w:r>
        <w:rPr>
          <w:rFonts w:ascii="Calibri" w:cs="Calibri" w:eastAsia="Calibri" w:hAnsi="Calibri"/>
          <w:color w:val="595959"/>
          <w:sz w:val="19"/>
          <w:szCs w:val="19"/>
        </w:rPr>
        <w:t xml:space="preserve">  —  reported 8 June 2026</w:t>
      </w:r>
    </w:p>
    <w:p>
      <w:pPr>
        <w:spacing w:after="40" w:line="276"/>
      </w:pPr>
      <w:r>
        <w:rPr>
          <w:rFonts w:ascii="Calibri" w:cs="Calibri" w:eastAsia="Calibri" w:hAnsi="Calibri"/>
          <w:sz w:val="21"/>
          <w:szCs w:val="21"/>
        </w:rPr>
        <w:t xml:space="preserve">Private and illiquid fixed income reached $807bn at YE2025, 20% of the industry's $4T fixed-income portfolio and up $122bn in a year. The ten largest holders account for 44% of private illiquid bonds but only 24% of total fixed income; PIK instruments stand at 1.1% of statutory surplus. Named holders with exposure above 15% include Athene and Global Atlantic.</w:t>
      </w:r>
    </w:p>
    <w:p>
      <w:pPr>
        <w:spacing w:after="120" w:line="264"/>
      </w:pPr>
      <w:r>
        <w:rPr>
          <w:rFonts w:ascii="Calibri" w:cs="Calibri" w:eastAsia="Calibri" w:hAnsi="Calibri"/>
          <w:b/>
          <w:bCs/>
          <w:color w:val="595959"/>
          <w:sz w:val="20"/>
          <w:szCs w:val="20"/>
        </w:rPr>
        <w:t xml:space="preserve">Why it matters: </w:t>
      </w:r>
      <w:r>
        <w:rPr>
          <w:rFonts w:ascii="Calibri" w:cs="Calibri" w:eastAsia="Calibri" w:hAnsi="Calibri"/>
          <w:color w:val="595959"/>
          <w:sz w:val="20"/>
          <w:szCs w:val="20"/>
        </w:rPr>
        <w:t xml:space="preserve">A wider-scope cross-check on our credit-quality split and a pointer to concentration metrics we will add in a future issue.</w:t>
      </w:r>
    </w:p>
    <w:p>
      <w:pPr>
        <w:keepNext/>
        <w:spacing w:after="40" w:before="140"/>
      </w:pPr>
      <w:r>
        <w:rPr>
          <w:rFonts w:ascii="Calibri" w:cs="Calibri" w:eastAsia="Calibri" w:hAnsi="Calibri"/>
          <w:b/>
          <w:bCs/>
          <w:color w:val="1F3864"/>
          <w:sz w:val="21"/>
          <w:szCs w:val="21"/>
        </w:rPr>
        <w:t xml:space="preserve">NAIC — Spring 2026 National Meeting; KBRA — “A More Balanced Review of the NAIC PLR Review Process”</w:t>
      </w:r>
      <w:r>
        <w:rPr>
          <w:rFonts w:ascii="Calibri" w:cs="Calibri" w:eastAsia="Calibri" w:hAnsi="Calibri"/>
          <w:color w:val="595959"/>
          <w:sz w:val="19"/>
          <w:szCs w:val="19"/>
        </w:rPr>
        <w:t xml:space="preserve">  —  March 2026  ·  KBRA 8 June 2026</w:t>
      </w:r>
    </w:p>
    <w:p>
      <w:pPr>
        <w:spacing w:after="40" w:line="276"/>
      </w:pPr>
      <w:r>
        <w:rPr>
          <w:rFonts w:ascii="Calibri" w:cs="Calibri" w:eastAsia="Calibri" w:hAnsi="Calibri"/>
          <w:sz w:val="21"/>
          <w:szCs w:val="21"/>
        </w:rPr>
        <w:t xml:space="preserve">The SVO reported PL rating filings up 526% between 2022 and 2025 and flagged resource strain; the CLO risk-based capital framework (differentiated charges by tranche, with a 4% thickness threshold) is targeted to take effect 31 December 2026; and a proposal would let the SVO rely on parent-company financials in more cases. KBRA argues the impact of the SVO's new discretion to challenge ratings (adopted August 2024, implementation delayed from January 2026) will be limited and security-specific.</w:t>
      </w:r>
    </w:p>
    <w:p>
      <w:pPr>
        <w:spacing w:after="120" w:line="264"/>
      </w:pPr>
      <w:r>
        <w:rPr>
          <w:rFonts w:ascii="Calibri" w:cs="Calibri" w:eastAsia="Calibri" w:hAnsi="Calibri"/>
          <w:b/>
          <w:bCs/>
          <w:color w:val="595959"/>
          <w:sz w:val="20"/>
          <w:szCs w:val="20"/>
        </w:rPr>
        <w:t xml:space="preserve">Why it matters: </w:t>
      </w:r>
      <w:r>
        <w:rPr>
          <w:rFonts w:ascii="Calibri" w:cs="Calibri" w:eastAsia="Calibri" w:hAnsi="Calibri"/>
          <w:color w:val="595959"/>
          <w:sz w:val="20"/>
          <w:szCs w:val="20"/>
        </w:rPr>
        <w:t xml:space="preserve">The regulatory backdrop for the </w:t>
      </w:r>
      <w:r>
        <w:rPr>
          <w:rFonts w:ascii="Calibri" w:cs="Calibri" w:eastAsia="Calibri" w:hAnsi="Calibri"/>
          <w:b/>
          <w:bCs/>
          <w:color w:val="595959"/>
          <w:sz w:val="20"/>
          <w:szCs w:val="20"/>
          <w:highlight w:val="yellow"/>
          <w:highlightCs w:val="yellow"/>
        </w:rPr>
        <w:t xml:space="preserve">42</w:t>
      </w:r>
      <w:r>
        <w:rPr>
          <w:rFonts w:ascii="Calibri" w:cs="Calibri" w:eastAsia="Calibri" w:hAnsi="Calibri"/>
          <w:color w:val="595959"/>
          <w:sz w:val="20"/>
          <w:szCs w:val="20"/>
        </w:rPr>
        <w:t xml:space="preserve">% PL share in Section 1.2 and the CLO share we will add once issuer categories are in the dashboard.</w:t>
      </w:r>
    </w:p>
    <w:p>
      <w:pPr>
        <w:pStyle w:val="Heading1"/>
        <w:spacing w:after="120" w:before="360"/>
      </w:pPr>
      <w:r>
        <w:t xml:space="preserve">3. Links worth bookmarking</w:t>
      </w:r>
    </w:p>
    <w:p>
      <w:pPr>
        <w:keepNext/>
        <w:spacing w:after="120" w:line="276"/>
      </w:pPr>
      <w:r>
        <w:rPr>
          <w:rFonts w:ascii="Calibri" w:cs="Calibri" w:eastAsia="Calibri" w:hAnsi="Calibri"/>
          <w:i/>
          <w:iCs/>
          <w:color w:val="595959"/>
          <w:sz w:val="20"/>
          <w:szCs w:val="20"/>
        </w:rPr>
        <w:t xml:space="preserve">Official and third-party sources on the private credit market and its links to banks and insurers.</w:t>
      </w:r>
    </w:p>
    <w:p>
      <w:pPr>
        <w:pStyle w:val="ListParagraph"/>
        <w:numPr>
          <w:ilvl w:val="0"/>
          <w:numId w:val="2"/>
        </w:numPr>
        <w:spacing w:after="60" w:line="264"/>
      </w:pPr>
      <w:hyperlink w:history="1" r:id="rIdkexvduyudoughqymobbbi">
        <w:r>
          <w:rPr>
            <w:rStyle w:val="Hyperlink"/>
            <w:rFonts w:ascii="Calibri" w:cs="Calibri" w:eastAsia="Calibri" w:hAnsi="Calibri"/>
            <w:sz w:val="21"/>
            <w:szCs w:val="21"/>
          </w:rPr>
          <w:t xml:space="preserve">Federal Reserve — Financial Stability Report, May 2026</w:t>
        </w:r>
      </w:hyperlink>
      <w:r>
        <w:rPr>
          <w:rFonts w:ascii="Calibri" w:cs="Calibri" w:eastAsia="Calibri" w:hAnsi="Calibri"/>
          <w:color w:val="595959"/>
          <w:sz w:val="20"/>
          <w:szCs w:val="20"/>
        </w:rPr>
        <w:t xml:space="preserve"> — Box 4.1 on private credit; life insurer leverage</w:t>
      </w:r>
    </w:p>
    <w:p>
      <w:pPr>
        <w:pStyle w:val="ListParagraph"/>
        <w:numPr>
          <w:ilvl w:val="0"/>
          <w:numId w:val="2"/>
        </w:numPr>
        <w:spacing w:after="60" w:line="264"/>
      </w:pPr>
      <w:hyperlink w:history="1" r:id="rIdy_tle-fuswqmf2g-ilcjk">
        <w:r>
          <w:rPr>
            <w:rStyle w:val="Hyperlink"/>
            <w:rFonts w:ascii="Calibri" w:cs="Calibri" w:eastAsia="Calibri" w:hAnsi="Calibri"/>
            <w:sz w:val="21"/>
            <w:szCs w:val="21"/>
          </w:rPr>
          <w:t xml:space="preserve">Federal Reserve — Senior Loan Officer Opinion Survey, July 2026</w:t>
        </w:r>
      </w:hyperlink>
      <w:r>
        <w:rPr>
          <w:rFonts w:ascii="Calibri" w:cs="Calibri" w:eastAsia="Calibri" w:hAnsi="Calibri"/>
          <w:color w:val="595959"/>
          <w:sz w:val="20"/>
          <w:szCs w:val="20"/>
        </w:rPr>
        <w:t xml:space="preserve"> — special questions on NDFI lending standards</w:t>
      </w:r>
    </w:p>
    <w:p>
      <w:pPr>
        <w:pStyle w:val="ListParagraph"/>
        <w:numPr>
          <w:ilvl w:val="0"/>
          <w:numId w:val="2"/>
        </w:numPr>
        <w:spacing w:after="60" w:line="264"/>
      </w:pPr>
      <w:hyperlink w:history="1" r:id="rIdi4lde1vwdmk491hy2cxvl">
        <w:r>
          <w:rPr>
            <w:rStyle w:val="Hyperlink"/>
            <w:rFonts w:ascii="Calibri" w:cs="Calibri" w:eastAsia="Calibri" w:hAnsi="Calibri"/>
            <w:sz w:val="21"/>
            <w:szCs w:val="21"/>
          </w:rPr>
          <w:t xml:space="preserve">FDIC — 2026 Risk Review</w:t>
        </w:r>
      </w:hyperlink>
      <w:r>
        <w:rPr>
          <w:rFonts w:ascii="Calibri" w:cs="Calibri" w:eastAsia="Calibri" w:hAnsi="Calibri"/>
          <w:color w:val="595959"/>
          <w:sz w:val="20"/>
          <w:szCs w:val="20"/>
        </w:rPr>
        <w:t xml:space="preserve"> — NDFI lending section</w:t>
      </w:r>
    </w:p>
    <w:p>
      <w:pPr>
        <w:pStyle w:val="ListParagraph"/>
        <w:numPr>
          <w:ilvl w:val="0"/>
          <w:numId w:val="2"/>
        </w:numPr>
        <w:spacing w:after="60" w:line="264"/>
      </w:pPr>
      <w:hyperlink w:history="1" r:id="rIdpx0nyrph_c1etup-ulhku">
        <w:r>
          <w:rPr>
            <w:rStyle w:val="Hyperlink"/>
            <w:rFonts w:ascii="Calibri" w:cs="Calibri" w:eastAsia="Calibri" w:hAnsi="Calibri"/>
            <w:sz w:val="21"/>
            <w:szCs w:val="21"/>
          </w:rPr>
          <w:t xml:space="preserve">FDIC — Banking Issues in Focus: Bank Lending to Nondepository Financial Institutions</w:t>
        </w:r>
      </w:hyperlink>
      <w:r>
        <w:rPr>
          <w:rFonts w:ascii="Calibri" w:cs="Calibri" w:eastAsia="Calibri" w:hAnsi="Calibri"/>
          <w:color w:val="595959"/>
          <w:sz w:val="20"/>
          <w:szCs w:val="20"/>
        </w:rPr>
        <w:t xml:space="preserve"> — February 2026; subcategory breakdown and credit quality</w:t>
      </w:r>
    </w:p>
    <w:p>
      <w:pPr>
        <w:pStyle w:val="ListParagraph"/>
        <w:numPr>
          <w:ilvl w:val="0"/>
          <w:numId w:val="2"/>
        </w:numPr>
        <w:spacing w:after="60" w:line="264"/>
      </w:pPr>
      <w:hyperlink w:history="1" r:id="rIdjosq45onxdhjqjkplwni9">
        <w:r>
          <w:rPr>
            <w:rStyle w:val="Hyperlink"/>
            <w:rFonts w:ascii="Calibri" w:cs="Calibri" w:eastAsia="Calibri" w:hAnsi="Calibri"/>
            <w:sz w:val="21"/>
            <w:szCs w:val="21"/>
          </w:rPr>
          <w:t xml:space="preserve">Financial Stability Board — Report on Vulnerabilities in Private Credit</w:t>
        </w:r>
      </w:hyperlink>
      <w:r>
        <w:rPr>
          <w:rFonts w:ascii="Calibri" w:cs="Calibri" w:eastAsia="Calibri" w:hAnsi="Calibri"/>
          <w:color w:val="595959"/>
          <w:sz w:val="20"/>
          <w:szCs w:val="20"/>
        </w:rPr>
        <w:t xml:space="preserve"> — 6 May 2026; market size $1.5–2T, interconnections with banks and insurers</w:t>
      </w:r>
    </w:p>
    <w:p>
      <w:pPr>
        <w:pStyle w:val="ListParagraph"/>
        <w:numPr>
          <w:ilvl w:val="0"/>
          <w:numId w:val="2"/>
        </w:numPr>
        <w:spacing w:after="60" w:line="264"/>
      </w:pPr>
      <w:hyperlink w:history="1" r:id="rIdhwhvwu56bubqmypqpdd8h">
        <w:r>
          <w:rPr>
            <w:rStyle w:val="Hyperlink"/>
            <w:rFonts w:ascii="Calibri" w:cs="Calibri" w:eastAsia="Calibri" w:hAnsi="Calibri"/>
            <w:sz w:val="21"/>
            <w:szCs w:val="21"/>
          </w:rPr>
          <w:t xml:space="preserve">Office of Financial Research — Brief 26-02: Measuring Counterparty Exposures to Private Credit</w:t>
        </w:r>
      </w:hyperlink>
      <w:r>
        <w:rPr>
          <w:rFonts w:ascii="Calibri" w:cs="Calibri" w:eastAsia="Calibri" w:hAnsi="Calibri"/>
          <w:color w:val="595959"/>
          <w:sz w:val="20"/>
          <w:szCs w:val="20"/>
        </w:rPr>
        <w:t xml:space="preserve"> — March 2026; bank lending to private credit funds $410–540bn</w:t>
      </w:r>
    </w:p>
    <w:p>
      <w:pPr>
        <w:pStyle w:val="ListParagraph"/>
        <w:numPr>
          <w:ilvl w:val="0"/>
          <w:numId w:val="2"/>
        </w:numPr>
        <w:spacing w:after="60" w:line="264"/>
      </w:pPr>
      <w:hyperlink w:history="1" r:id="rIdkvnbiiupd553azh7aabsq">
        <w:r>
          <w:rPr>
            <w:rStyle w:val="Hyperlink"/>
            <w:rFonts w:ascii="Calibri" w:cs="Calibri" w:eastAsia="Calibri" w:hAnsi="Calibri"/>
            <w:sz w:val="21"/>
            <w:szCs w:val="21"/>
          </w:rPr>
          <w:t xml:space="preserve">BIS — Bulletin 128: AI disruption in private credit — exposure to software firms in BDCs</w:t>
        </w:r>
      </w:hyperlink>
      <w:r>
        <w:rPr>
          <w:rFonts w:ascii="Calibri" w:cs="Calibri" w:eastAsia="Calibri" w:hAnsi="Calibri"/>
          <w:color w:val="595959"/>
          <w:sz w:val="20"/>
          <w:szCs w:val="20"/>
        </w:rPr>
        <w:t xml:space="preserve"> — July 2026</w:t>
      </w:r>
    </w:p>
    <w:p>
      <w:pPr>
        <w:pStyle w:val="ListParagraph"/>
        <w:numPr>
          <w:ilvl w:val="0"/>
          <w:numId w:val="2"/>
        </w:numPr>
        <w:spacing w:after="60" w:line="264"/>
      </w:pPr>
      <w:hyperlink w:history="1" r:id="rIdmbtnoghlxqnnalvza14wg">
        <w:r>
          <w:rPr>
            <w:rStyle w:val="Hyperlink"/>
            <w:rFonts w:ascii="Calibri" w:cs="Calibri" w:eastAsia="Calibri" w:hAnsi="Calibri"/>
            <w:sz w:val="21"/>
            <w:szCs w:val="21"/>
          </w:rPr>
          <w:t xml:space="preserve">NAIC — Private Credit topic page</w:t>
        </w:r>
      </w:hyperlink>
      <w:r>
        <w:rPr>
          <w:rFonts w:ascii="Calibri" w:cs="Calibri" w:eastAsia="Calibri" w:hAnsi="Calibri"/>
          <w:color w:val="595959"/>
          <w:sz w:val="20"/>
          <w:szCs w:val="20"/>
        </w:rPr>
        <w:t xml:space="preserve"> — regulatory workstreams, issue brief</w:t>
      </w:r>
    </w:p>
    <w:p>
      <w:pPr>
        <w:pStyle w:val="ListParagraph"/>
        <w:numPr>
          <w:ilvl w:val="0"/>
          <w:numId w:val="2"/>
        </w:numPr>
        <w:spacing w:after="60" w:line="264"/>
      </w:pPr>
      <w:hyperlink w:history="1" r:id="rIdtk1zucpncozelvzehaah5">
        <w:r>
          <w:rPr>
            <w:rStyle w:val="Hyperlink"/>
            <w:rFonts w:ascii="Calibri" w:cs="Calibri" w:eastAsia="Calibri" w:hAnsi="Calibri"/>
            <w:sz w:val="21"/>
            <w:szCs w:val="21"/>
          </w:rPr>
          <w:t xml:space="preserve">ABA Banking Journal — Loans to NDFIs: new granularity and a rapidly growing segment</w:t>
        </w:r>
      </w:hyperlink>
      <w:r>
        <w:rPr>
          <w:rFonts w:ascii="Calibri" w:cs="Calibri" w:eastAsia="Calibri" w:hAnsi="Calibri"/>
          <w:color w:val="595959"/>
          <w:sz w:val="20"/>
          <w:szCs w:val="20"/>
        </w:rPr>
        <w:t xml:space="preserve"> — plain-English explainer of the five NDFI categories</w:t>
      </w:r>
    </w:p>
    <w:p>
      <w:pPr>
        <w:pStyle w:val="ListParagraph"/>
        <w:numPr>
          <w:ilvl w:val="0"/>
          <w:numId w:val="2"/>
        </w:numPr>
        <w:spacing w:after="60" w:line="264"/>
      </w:pPr>
      <w:r>
        <w:rPr>
          <w:rFonts w:ascii="Calibri" w:cs="Calibri" w:eastAsia="Calibri" w:hAnsi="Calibri"/>
          <w:sz w:val="21"/>
          <w:szCs w:val="21"/>
        </w:rPr>
        <w:t xml:space="preserve">S&amp;P Global Ratings — Private Markets / Private Credit research hub and Private Credit Analysis (PCA) </w:t>
      </w:r>
      <w:r>
        <w:rPr>
          <w:rFonts w:ascii="Calibri" w:cs="Calibri" w:eastAsia="Calibri" w:hAnsi="Calibri"/>
          <w:b/>
          <w:bCs/>
          <w:sz w:val="21"/>
          <w:szCs w:val="21"/>
          <w:highlight w:val="yellow"/>
          <w:highlightCs w:val="yellow"/>
        </w:rPr>
        <w:t xml:space="preserve">insert internal links</w:t>
      </w:r>
    </w:p>
    <w:p>
      <w:pPr>
        <w:pStyle w:val="Heading1"/>
        <w:spacing w:after="120" w:before="360"/>
      </w:pPr>
      <w:r>
        <w:t xml:space="preserve">Methodology &amp; definitions</w:t>
      </w:r>
    </w:p>
    <w:tbl>
      <w:tblPr>
        <w:tblW w:type="dxa" w:w="10080"/>
        <w:tblBorders>
          <w:top w:val="single" w:color="BFBFBF" w:sz="6"/>
          <w:left w:val="single" w:color="BFBFBF" w:sz="6"/>
          <w:bottom w:val="single" w:color="BFBFBF" w:sz="6"/>
          <w:right w:val="single" w:color="BFBFBF" w:sz="6"/>
          <w:insideH w:val="single" w:color="BFBFBF" w:sz="6"/>
          <w:insideV w:val="single" w:color="BFBFBF" w:sz="6"/>
        </w:tblBorders>
      </w:tblPr>
      <w:tblGrid>
        <w:gridCol w:w="10080"/>
      </w:tblGrid>
      <w:tr>
        <w:tc>
          <w:tcPr>
            <w:tcW w:type="dxa" w:w="10080"/>
            <w:shd w:fill="F7F9FC" w:color="auto" w:val="clear"/>
            <w:tcMar>
              <w:top w:type="dxa" w:w="140"/>
              <w:left w:type="dxa" w:w="200"/>
              <w:bottom w:type="dxa" w:w="140"/>
              <w:right w:type="dxa" w:w="200"/>
            </w:tcMar>
          </w:tcPr>
          <w:p>
            <w:pPr>
              <w:keepNext/>
              <w:spacing w:after="40"/>
            </w:pPr>
            <w:r>
              <w:rPr>
                <w:rFonts w:ascii="Calibri" w:cs="Calibri" w:eastAsia="Calibri" w:hAnsi="Calibri"/>
                <w:b/>
                <w:bCs/>
                <w:color w:val="1F3864"/>
                <w:sz w:val="20"/>
                <w:szCs w:val="20"/>
              </w:rPr>
              <w:t xml:space="preserve">U.S. Banks</w:t>
            </w:r>
          </w:p>
          <w:p>
            <w:pPr>
              <w:keepNext/>
              <w:keepLines/>
              <w:spacing w:after="100" w:line="264"/>
            </w:pPr>
            <w:r>
              <w:rPr>
                <w:rFonts w:ascii="Calibri" w:cs="Calibri" w:eastAsia="Calibri" w:hAnsi="Calibri"/>
                <w:sz w:val="19"/>
                <w:szCs w:val="19"/>
              </w:rPr>
              <w:t xml:space="preserve">Source: FR Y-9C (Schedule HC-C) via S&amp;P Capital IQ, quarterly. Universe: S&amp;P-rated U.S. bank holding companies that report the NDFI loan detail, consolidated to the parent level so no loan is counted twice. NDFI = non-depository financial institutions, reported in five borrower categories: mortgage credit intermediaries, business credit intermediaries, private equity funds, consumer credit intermediaries, other. Core private credit proxy = loans to business credit intermediaries (direct lenders, BDCs, private credit funds); upper bound = total NDFI loans. Y-9C reports drawn balances only; undrawn commitments are not captured. Every bank's subcategories are reconciled to its reported totals before data reaches the dashboard.</w:t>
            </w:r>
          </w:p>
          <w:p>
            <w:pPr>
              <w:keepNext/>
              <w:spacing w:after="40"/>
            </w:pPr>
            <w:r>
              <w:rPr>
                <w:rFonts w:ascii="Calibri" w:cs="Calibri" w:eastAsia="Calibri" w:hAnsi="Calibri"/>
                <w:b/>
                <w:bCs/>
                <w:color w:val="1F3864"/>
                <w:sz w:val="20"/>
                <w:szCs w:val="20"/>
              </w:rPr>
              <w:t xml:space="preserve">U.S. Insurance</w:t>
            </w:r>
          </w:p>
          <w:p>
            <w:pPr>
              <w:keepNext/>
              <w:keepLines/>
              <w:spacing w:after="100" w:line="264"/>
            </w:pPr>
            <w:r>
              <w:rPr>
                <w:rFonts w:ascii="Calibri" w:cs="Calibri" w:eastAsia="Calibri" w:hAnsi="Calibri"/>
                <w:sz w:val="19"/>
                <w:szCs w:val="19"/>
              </w:rPr>
              <w:t xml:space="preserve">Scope: U.S. life/fraternal insurers, PPN-identified traditional private placement bonds reported on NAIC Schedule D Part 1 as of YE2025 (universe and snapshot at the same date — no survivorship bias). Excludes 144A securities (by construction), Schedule BA assets (funds, direct-lending vehicles) and Schedule B mortgage loans. Exposure metric: book/adjusted carrying value (BACV), statutory basis; denominators (net admitted cash &amp; invested assets, capital &amp; surplus) on the same basis and date. NAIC designations and SVO symbols as of YE2025; “latest” = </w:t>
            </w:r>
            <w:r>
              <w:rPr>
                <w:rFonts w:ascii="Calibri" w:cs="Calibri" w:eastAsia="Calibri" w:hAnsi="Calibri"/>
                <w:b/>
                <w:bCs/>
                <w:sz w:val="19"/>
                <w:szCs w:val="19"/>
                <w:highlight w:val="yellow"/>
                <w:highlightCs w:val="yellow"/>
              </w:rPr>
              <w:t xml:space="preserve">2026Q2</w:t>
            </w:r>
            <w:r>
              <w:rPr>
                <w:rFonts w:ascii="Calibri" w:cs="Calibri" w:eastAsia="Calibri" w:hAnsi="Calibri"/>
                <w:sz w:val="19"/>
                <w:szCs w:val="19"/>
              </w:rPr>
              <w:t xml:space="preserve"> quarterly filings, used for the migration view only. Source: S&amp;P Capital IQ Pro insurance investment holdings.</w:t>
            </w:r>
          </w:p>
          <w:p>
            <w:pPr>
              <w:keepNext/>
              <w:spacing w:after="40"/>
            </w:pPr>
            <w:r>
              <w:rPr>
                <w:rFonts w:ascii="Calibri" w:cs="Calibri" w:eastAsia="Calibri" w:hAnsi="Calibri"/>
                <w:b/>
                <w:bCs/>
                <w:color w:val="1F3864"/>
                <w:sz w:val="20"/>
                <w:szCs w:val="20"/>
              </w:rPr>
              <w:t xml:space="preserve">Key terms</w:t>
            </w:r>
          </w:p>
          <w:p>
            <w:pPr>
              <w:keepLines/>
              <w:spacing w:after="0" w:line="264"/>
            </w:pPr>
            <w:r>
              <w:rPr>
                <w:rFonts w:ascii="Calibri" w:cs="Calibri" w:eastAsia="Calibri" w:hAnsi="Calibri"/>
                <w:b/>
                <w:bCs/>
                <w:sz w:val="19"/>
                <w:szCs w:val="19"/>
              </w:rPr>
              <w:t xml:space="preserve">NDFI</w:t>
            </w:r>
            <w:r>
              <w:rPr>
                <w:rFonts w:ascii="Calibri" w:cs="Calibri" w:eastAsia="Calibri" w:hAnsi="Calibri"/>
                <w:sz w:val="19"/>
                <w:szCs w:val="19"/>
              </w:rPr>
              <w:t xml:space="preserve"> non-depository financial institution · </w:t>
            </w:r>
            <w:r>
              <w:rPr>
                <w:rFonts w:ascii="Calibri" w:cs="Calibri" w:eastAsia="Calibri" w:hAnsi="Calibri"/>
                <w:b/>
                <w:bCs/>
                <w:sz w:val="19"/>
                <w:szCs w:val="19"/>
              </w:rPr>
              <w:t xml:space="preserve">BCI</w:t>
            </w:r>
            <w:r>
              <w:rPr>
                <w:rFonts w:ascii="Calibri" w:cs="Calibri" w:eastAsia="Calibri" w:hAnsi="Calibri"/>
                <w:sz w:val="19"/>
                <w:szCs w:val="19"/>
              </w:rPr>
              <w:t xml:space="preserve"> business credit intermediary · </w:t>
            </w:r>
            <w:r>
              <w:rPr>
                <w:rFonts w:ascii="Calibri" w:cs="Calibri" w:eastAsia="Calibri" w:hAnsi="Calibri"/>
                <w:b/>
                <w:bCs/>
                <w:sz w:val="19"/>
                <w:szCs w:val="19"/>
              </w:rPr>
              <w:t xml:space="preserve">PP</w:t>
            </w:r>
            <w:r>
              <w:rPr>
                <w:rFonts w:ascii="Calibri" w:cs="Calibri" w:eastAsia="Calibri" w:hAnsi="Calibri"/>
                <w:sz w:val="19"/>
                <w:szCs w:val="19"/>
              </w:rPr>
              <w:t xml:space="preserve"> private placement · </w:t>
            </w:r>
            <w:r>
              <w:rPr>
                <w:rFonts w:ascii="Calibri" w:cs="Calibri" w:eastAsia="Calibri" w:hAnsi="Calibri"/>
                <w:b/>
                <w:bCs/>
                <w:sz w:val="19"/>
                <w:szCs w:val="19"/>
              </w:rPr>
              <w:t xml:space="preserve">PPN</w:t>
            </w:r>
            <w:r>
              <w:rPr>
                <w:rFonts w:ascii="Calibri" w:cs="Calibri" w:eastAsia="Calibri" w:hAnsi="Calibri"/>
                <w:sz w:val="19"/>
                <w:szCs w:val="19"/>
              </w:rPr>
              <w:t xml:space="preserve"> Private Placement Number (CUSIP Global Services identifier for private placements) · </w:t>
            </w:r>
            <w:r>
              <w:rPr>
                <w:rFonts w:ascii="Calibri" w:cs="Calibri" w:eastAsia="Calibri" w:hAnsi="Calibri"/>
                <w:b/>
                <w:bCs/>
                <w:sz w:val="19"/>
                <w:szCs w:val="19"/>
              </w:rPr>
              <w:t xml:space="preserve">BACV</w:t>
            </w:r>
            <w:r>
              <w:rPr>
                <w:rFonts w:ascii="Calibri" w:cs="Calibri" w:eastAsia="Calibri" w:hAnsi="Calibri"/>
                <w:sz w:val="19"/>
                <w:szCs w:val="19"/>
              </w:rPr>
              <w:t xml:space="preserve"> book/adjusted carrying value · </w:t>
            </w:r>
            <w:r>
              <w:rPr>
                <w:rFonts w:ascii="Calibri" w:cs="Calibri" w:eastAsia="Calibri" w:hAnsi="Calibri"/>
                <w:b/>
                <w:bCs/>
                <w:sz w:val="19"/>
                <w:szCs w:val="19"/>
              </w:rPr>
              <w:t xml:space="preserve">C&amp;S</w:t>
            </w:r>
            <w:r>
              <w:rPr>
                <w:rFonts w:ascii="Calibri" w:cs="Calibri" w:eastAsia="Calibri" w:hAnsi="Calibri"/>
                <w:sz w:val="19"/>
                <w:szCs w:val="19"/>
              </w:rPr>
              <w:t xml:space="preserve"> capital &amp; surplus (statutory admitted assets less liabilities) · </w:t>
            </w:r>
            <w:r>
              <w:rPr>
                <w:rFonts w:ascii="Calibri" w:cs="Calibri" w:eastAsia="Calibri" w:hAnsi="Calibri"/>
                <w:b/>
                <w:bCs/>
                <w:sz w:val="19"/>
                <w:szCs w:val="19"/>
              </w:rPr>
              <w:t xml:space="preserve">NAIC designation</w:t>
            </w:r>
            <w:r>
              <w:rPr>
                <w:rFonts w:ascii="Calibri" w:cs="Calibri" w:eastAsia="Calibri" w:hAnsi="Calibri"/>
                <w:sz w:val="19"/>
                <w:szCs w:val="19"/>
              </w:rPr>
              <w:t xml:space="preserve"> credit-quality scale, 1 (highest, ≈AAA–A), 2 (≈BBB), 3–6 (below investment grade) · </w:t>
            </w:r>
            <w:r>
              <w:rPr>
                <w:rFonts w:ascii="Calibri" w:cs="Calibri" w:eastAsia="Calibri" w:hAnsi="Calibri"/>
                <w:b/>
                <w:bCs/>
                <w:sz w:val="19"/>
                <w:szCs w:val="19"/>
              </w:rPr>
              <w:t xml:space="preserve">SVO</w:t>
            </w:r>
            <w:r>
              <w:rPr>
                <w:rFonts w:ascii="Calibri" w:cs="Calibri" w:eastAsia="Calibri" w:hAnsi="Calibri"/>
                <w:sz w:val="19"/>
                <w:szCs w:val="19"/>
              </w:rPr>
              <w:t xml:space="preserve"> NAIC Securities Valuation Office · </w:t>
            </w:r>
            <w:r>
              <w:rPr>
                <w:rFonts w:ascii="Calibri" w:cs="Calibri" w:eastAsia="Calibri" w:hAnsi="Calibri"/>
                <w:b/>
                <w:bCs/>
                <w:sz w:val="19"/>
                <w:szCs w:val="19"/>
              </w:rPr>
              <w:t xml:space="preserve">PL</w:t>
            </w:r>
            <w:r>
              <w:rPr>
                <w:rFonts w:ascii="Calibri" w:cs="Calibri" w:eastAsia="Calibri" w:hAnsi="Calibri"/>
                <w:sz w:val="19"/>
                <w:szCs w:val="19"/>
              </w:rPr>
              <w:t xml:space="preserve"> private letter rating — a rating issued privately by an NRSRO and filed with the SVO to obtain a designation · </w:t>
            </w:r>
            <w:r>
              <w:rPr>
                <w:rFonts w:ascii="Calibri" w:cs="Calibri" w:eastAsia="Calibri" w:hAnsi="Calibri"/>
                <w:b/>
                <w:bCs/>
                <w:sz w:val="19"/>
                <w:szCs w:val="19"/>
              </w:rPr>
              <w:t xml:space="preserve">FE</w:t>
            </w:r>
            <w:r>
              <w:rPr>
                <w:rFonts w:ascii="Calibri" w:cs="Calibri" w:eastAsia="Calibri" w:hAnsi="Calibri"/>
                <w:sz w:val="19"/>
                <w:szCs w:val="19"/>
              </w:rPr>
              <w:t xml:space="preserve"> filing exempt — issuer has a public NRSRO rating · </w:t>
            </w:r>
            <w:r>
              <w:rPr>
                <w:rFonts w:ascii="Calibri" w:cs="Calibri" w:eastAsia="Calibri" w:hAnsi="Calibri"/>
                <w:b/>
                <w:bCs/>
                <w:sz w:val="19"/>
                <w:szCs w:val="19"/>
              </w:rPr>
              <w:t xml:space="preserve">PIK</w:t>
            </w:r>
            <w:r>
              <w:rPr>
                <w:rFonts w:ascii="Calibri" w:cs="Calibri" w:eastAsia="Calibri" w:hAnsi="Calibri"/>
                <w:sz w:val="19"/>
                <w:szCs w:val="19"/>
              </w:rPr>
              <w:t xml:space="preserve"> payment-in-kind interest.</w:t>
            </w:r>
          </w:p>
        </w:tc>
      </w:tr>
    </w:tbl>
    <w:p>
      <w:pPr>
        <w:spacing w:after="160"/>
      </w:pPr>
    </w:p>
    <w:p>
      <w:pPr>
        <w:spacing w:after="0"/>
      </w:pPr>
      <w:r>
        <w:rPr>
          <w:rFonts w:ascii="Calibri" w:cs="Calibri" w:eastAsia="Calibri" w:hAnsi="Calibri"/>
          <w:i/>
          <w:iCs/>
          <w:color w:val="595959"/>
          <w:sz w:val="19"/>
          <w:szCs w:val="19"/>
        </w:rPr>
        <w:t xml:space="preserve">Prepared by the Private Credit Market Monitor project team — </w:t>
      </w:r>
      <w:r>
        <w:rPr>
          <w:rFonts w:ascii="Calibri" w:cs="Calibri" w:eastAsia="Calibri" w:hAnsi="Calibri"/>
          <w:b/>
          <w:bCs/>
          <w:i/>
          <w:iCs/>
          <w:color w:val="595959"/>
          <w:sz w:val="19"/>
          <w:szCs w:val="19"/>
          <w:highlight w:val="yellow"/>
          <w:highlightCs w:val="yellow"/>
        </w:rPr>
        <w:t xml:space="preserve">names</w:t>
      </w:r>
      <w:r>
        <w:rPr>
          <w:rFonts w:ascii="Calibri" w:cs="Calibri" w:eastAsia="Calibri" w:hAnsi="Calibri"/>
          <w:i/>
          <w:iCs/>
          <w:color w:val="595959"/>
          <w:sz w:val="19"/>
          <w:szCs w:val="19"/>
        </w:rPr>
        <w:t xml:space="preserve">. Dashboards: </w:t>
      </w:r>
      <w:r>
        <w:rPr>
          <w:rFonts w:ascii="Calibri" w:cs="Calibri" w:eastAsia="Calibri" w:hAnsi="Calibri"/>
          <w:b/>
          <w:bCs/>
          <w:i/>
          <w:iCs/>
          <w:color w:val="595959"/>
          <w:sz w:val="19"/>
          <w:szCs w:val="19"/>
          <w:highlight w:val="yellow"/>
          <w:highlightCs w:val="yellow"/>
        </w:rPr>
        <w:t xml:space="preserve">Power BI link</w:t>
      </w:r>
      <w:r>
        <w:rPr>
          <w:rFonts w:ascii="Calibri" w:cs="Calibri" w:eastAsia="Calibri" w:hAnsi="Calibri"/>
          <w:i/>
          <w:iCs/>
          <w:color w:val="595959"/>
          <w:sz w:val="19"/>
          <w:szCs w:val="19"/>
        </w:rPr>
        <w:t xml:space="preserve">. Questions and suggestions for the next issue: </w:t>
      </w:r>
      <w:r>
        <w:rPr>
          <w:rFonts w:ascii="Calibri" w:cs="Calibri" w:eastAsia="Calibri" w:hAnsi="Calibri"/>
          <w:b/>
          <w:bCs/>
          <w:i/>
          <w:iCs/>
          <w:color w:val="595959"/>
          <w:sz w:val="19"/>
          <w:szCs w:val="19"/>
          <w:highlight w:val="yellow"/>
          <w:highlightCs w:val="yellow"/>
        </w:rPr>
        <w:t xml:space="preserve">email</w:t>
      </w:r>
      <w:r>
        <w:rPr>
          <w:rFonts w:ascii="Calibri" w:cs="Calibri" w:eastAsia="Calibri" w:hAnsi="Calibri"/>
          <w:i/>
          <w:iCs/>
          <w:color w:val="595959"/>
          <w:sz w:val="19"/>
          <w:szCs w:val="19"/>
        </w:rPr>
        <w:t xml:space="preserve">. Internal use only; contains no private or unpublished ratings.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595959"/>
        <w:sz w:val="17"/>
        <w:szCs w:val="17"/>
      </w:rPr>
      <w:t xml:space="preserve">Internal use only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95959"/>
        <w:sz w:val="17"/>
        <w:szCs w:val="17"/>
      </w:rPr>
      <w:t xml:space="preserve">Private Credit Market Monitor — Quarterly Update, Issue 1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BFBF"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exvduyudoughqymobbbi" Type="http://schemas.openxmlformats.org/officeDocument/2006/relationships/hyperlink" Target="https://www.federalreserve.gov/publications/files/financial-stability-report-20260508.pdf" TargetMode="External"/><Relationship Id="rIdy_tle-fuswqmf2g-ilcjk" Type="http://schemas.openxmlformats.org/officeDocument/2006/relationships/hyperlink" Target="https://www.federalreserve.gov/data/sloos/sloos-202607.htm" TargetMode="External"/><Relationship Id="rIdi4lde1vwdmk491hy2cxvl" Type="http://schemas.openxmlformats.org/officeDocument/2006/relationships/hyperlink" Target="https://www.fdic.gov/analysis/2026-risk-review-full.pdf" TargetMode="External"/><Relationship Id="rIdpx0nyrph_c1etup-ulhku" Type="http://schemas.openxmlformats.org/officeDocument/2006/relationships/hyperlink" Target="https://www.fdic.gov/analysis/bank-lending-nondepository-financial-institutions.pdf" TargetMode="External"/><Relationship Id="rIdjosq45onxdhjqjkplwni9" Type="http://schemas.openxmlformats.org/officeDocument/2006/relationships/hyperlink" Target="https://www.fsb.org/2026/05/report-on-vulnerabilities-in-private-credit/" TargetMode="External"/><Relationship Id="rIdhwhvwu56bubqmypqpdd8h" Type="http://schemas.openxmlformats.org/officeDocument/2006/relationships/hyperlink" Target="https://www.financialresearch.gov/briefs/files/OFRBrief-26-02-measuring-counterparty-exposures-private-credit.pdf" TargetMode="External"/><Relationship Id="rIdkvnbiiupd553azh7aabsq" Type="http://schemas.openxmlformats.org/officeDocument/2006/relationships/hyperlink" Target="https://www.bis.org/publ/bisbull128.htm" TargetMode="External"/><Relationship Id="rIdmbtnoghlxqnnalvza14wg" Type="http://schemas.openxmlformats.org/officeDocument/2006/relationships/hyperlink" Target="https://content.naic.org/insurance-topics/private-credit" TargetMode="External"/><Relationship Id="rIdtk1zucpncozelvzehaah5" Type="http://schemas.openxmlformats.org/officeDocument/2006/relationships/hyperlink" Target="https://bankingjournal.aba.com/2026/02/loans-to-non-depository-financial-institutions-new-granularity-and-a-rapidly-growing-segment/"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Credit Market Monitor — Quarterly Update, Issue 1</dc:title>
  <dc:creator>Private Credit Market Monitor</dc:creator>
  <cp:lastModifiedBy>Un-named</cp:lastModifiedBy>
  <cp:revision>1</cp:revision>
  <dcterms:created xsi:type="dcterms:W3CDTF">2026-09-09T19:23:08.228Z</dcterms:created>
  <dcterms:modified xsi:type="dcterms:W3CDTF">2026-09-09T19:23:08.228Z</dcterms:modified>
</cp:coreProperties>
</file>

<file path=docProps/custom.xml><?xml version="1.0" encoding="utf-8"?>
<Properties xmlns="http://schemas.openxmlformats.org/officeDocument/2006/custom-properties" xmlns:vt="http://schemas.openxmlformats.org/officeDocument/2006/docPropsVTypes"/>
</file>