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WHERE THIS LEAVES THE GAME, measured over 1500 games a table size with a disjoint block of the same rules as the control. At three players the three vertical industries took 90.9% of games before this rebalance and now take about 69.5%; the most-dominant industry is down from 43.6% to 34.8% and the quietest up from 1.9% to 9.1%, so nothing sits below one game in ten any more. The worst an industry is missing from a board is 23.9% of games, against 35.1%. Payback spread is 1.50x against 3.14x, and the supply loop runs 1.68x against 3.46x. Three changes did that and none of them is worth much alone: the land awards paying for built ground is worth 8.8 points of the industry split, the branch rule 1.8, and together they are worth 15.4 - they compound because built ground is what makes a branch worth having and the branch rule is what stops the industry that gains most from running away with it. Rounding Retail and Technology's upgrade ladders onto the deck's multiple of five, which was meant as a tidy-up, turned out to be worth a further point and a half, because the two cards needing it sat at opposite ends of the table. ONE STRUCTURE IS LEFT AND THE CARDS CANNOT REACH IT: the horizontal industries do best at two players and worst at six, 31.1% of games against 22.6%, because the land awards that pay them back are 37% of a winning score at two seats and 22% at six. It is monotonic, it is measured, and it is about half the size it used to be. See audit_setup.js --tails.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2026-10-14T04:44:21.092Z</dcterms:created>
  <dcterms:modified xsi:type="dcterms:W3CDTF">2026-10-14T04:44:21.092Z</dcterms:modified>
</cp:coreProperties>
</file>

<file path=docProps/custom.xml><?xml version="1.0" encoding="utf-8"?>
<Properties xmlns="http://schemas.openxmlformats.org/officeDocument/2006/custom-properties" xmlns:vt="http://schemas.openxmlformats.org/officeDocument/2006/docPropsVTypes"/>
</file>