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It is the one recurring cost NOT printed on a Blueprint, so it is the charge a small company cannot dodge by choosing a cheaper card, and it grows with level while a level-1 company's income does not. Cutting it is close to free because rent is a TRANSFER - every dollar a tenant keeps is a dollar a landlord does not collect - so the money on the table barely moves while margins improve: companies covering their OPEX and rent go from 91% to 94% at four players, with the winning score and the industry balance unchanged. It is also the only change measured that made the game LESS DECIDED rather than merely closer at the end - the player leading at the halfway mark goes on to win 36% of four-player games instead of 41%, and 28% of six-player games instead of 31%. THE TWO-PLAYER GAME IS THE EXCEPTION and moves the other way, 60% to 67%: with only two seats a cheaper cost base helps whoever is already ahead, because there is nobody else for the relief to spread across. See audit_rent_scaled.js.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$2 for every level standing on a plot - goes to whoever owns that plot. A vertical company stacks all its levels on one plot, so its whole rent goes to one landlord; a horizontal one puts a level on each plot it covers, so each landlord collects $2.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$2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7% at four players to 22% at five and 34% at six, and the average six-player game ends about two thirds of a quarter sooner.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district that scores around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it fires in about one game in eight and almost always in Quarter 11 or 12, so it shortens the average game by only a few weeks of board time -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companies at 30%, Megacorps at 24%, cash at 22%, entry at 15% and land at 10% - nothing over a third, and building is still the biggest single thing.</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Designer's edition - includes the notes</dc:description>
  <cp:lastModifiedBy>Un-named</cp:lastModifiedBy>
  <cp:revision>1</cp:revision>
  <dcterms:created xsi:type="dcterms:W3CDTF">2026-08-25T06:30:13.011Z</dcterms:created>
  <dcterms:modified xsi:type="dcterms:W3CDTF">2026-08-25T06:30:13.011Z</dcterms:modified>
</cp:coreProperties>
</file>

<file path=docProps/custom.xml><?xml version="1.0" encoding="utf-8"?>
<Properties xmlns="http://schemas.openxmlformats.org/officeDocument/2006/custom-properties" xmlns:vt="http://schemas.openxmlformats.org/officeDocument/2006/docPropsVTypes"/>
</file>