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ENTREPRENEURS</w:t>
      </w:r>
    </w:p>
    <w:p>
      <w:pPr>
        <w:spacing w:after="120" w:before="0"/>
      </w:pPr>
      <w:r>
        <w:rPr>
          <w:rFonts w:ascii="Calibri" w:cs="Calibri" w:eastAsia="Calibri" w:hAnsi="Calibri"/>
          <w:color w:val="6B7280"/>
          <w:sz w:val="24"/>
          <w:szCs w:val="24"/>
        </w:rPr>
        <w:t xml:space="preserve">An economic game of land, supply chains and timing, for 2 to 4 players.</w:t>
      </w:r>
    </w:p>
    <w:p>
      <w:pPr>
        <w:spacing w:after="300" w:before="0"/>
      </w:pPr>
      <w:r>
        <w:rPr>
          <w:rFonts w:ascii="Calibri" w:cs="Calibri" w:eastAsia="Calibri" w:hAnsi="Calibri"/>
          <w:color w:val="6B7280"/>
          <w:sz w:val="18"/>
          <w:szCs w:val="18"/>
        </w:rPr>
        <w:t xml:space="preserve">Rulebook v11</w:t>
      </w:r>
    </w:p>
    <w:p>
      <w:pPr>
        <w:pStyle w:val="Heading1"/>
        <w:spacing w:after="130" w:before="260"/>
      </w:pPr>
      <w:r>
        <w:t xml:space="preserve">What you are trying to do</w:t>
      </w:r>
    </w:p>
    <w:p>
      <w:pPr>
        <w:spacing w:after="120" w:before="0"/>
      </w:pPr>
      <w:r>
        <w:rPr>
          <w:rFonts w:ascii="Calibri" w:cs="Calibri" w:eastAsia="Calibri" w:hAnsi="Calibri"/>
          <w:color w:val="14161A"/>
          <w:sz w:val="20"/>
          <w:szCs w:val="20"/>
        </w:rPr>
        <w:t xml:space="preserve">You are a founder building a city's economy. You buy land, put companies on it, and sell what they produce to the districts around them. The winner is whoever has the most Entrepreneurial Points (EP) at the end of Year 3.</w:t>
      </w:r>
    </w:p>
    <w:p>
      <w:pPr>
        <w:spacing w:after="120" w:before="0"/>
      </w:pPr>
      <w:r>
        <w:rPr>
          <w:rFonts w:ascii="Calibri" w:cs="Calibri" w:eastAsia="Calibri" w:hAnsi="Calibri"/>
          <w:color w:val="14161A"/>
          <w:sz w:val="20"/>
          <w:szCs w:val="20"/>
        </w:rPr>
        <w:t xml:space="preserve">The game runs for three fiscal years of four quarters each: twelve rounds. Every quarter follows the same five phases.</w:t>
      </w:r>
    </w:p>
    <w:p>
      <w:pPr>
        <w:spacing w:after="120" w:before="0"/>
      </w:pPr>
      <w:r>
        <w:rPr>
          <w:rFonts w:ascii="Calibri" w:cs="Calibri" w:eastAsia="Calibri" w:hAnsi="Calibri"/>
          <w:color w:val="14161A"/>
          <w:sz w:val="20"/>
          <w:szCs w:val="20"/>
        </w:rPr>
        <w:t xml:space="preserve">Most of your decisions land in Planning and Action, but they do not stop there. In Revenue you choose which demand icons to serve when your production exceeds what you can deliver. In Closing the first player chooses where the new Logistic Hub goes. And if you cannot pay your bills, you choose which assets to liquidate, and in what order.</w:t>
      </w:r>
    </w:p>
    <w:p>
      <w:pPr>
        <w:pStyle w:val="ListParagraph"/>
        <w:numPr>
          <w:ilvl w:val="0"/>
          <w:numId w:val="2"/>
        </w:numPr>
        <w:spacing w:after="70"/>
      </w:pPr>
      <w:r>
        <w:rPr>
          <w:rFonts w:ascii="Calibri" w:cs="Calibri" w:eastAsia="Calibri" w:hAnsi="Calibri"/>
          <w:color w:val="14161A"/>
          <w:sz w:val="20"/>
          <w:szCs w:val="20"/>
        </w:rPr>
        <w:t xml:space="preserve">Money is not victory. It converts at $10 = 1 EP only at the very end.</w:t>
      </w:r>
    </w:p>
    <w:p>
      <w:pPr>
        <w:pStyle w:val="ListParagraph"/>
        <w:numPr>
          <w:ilvl w:val="0"/>
          <w:numId w:val="2"/>
        </w:numPr>
        <w:spacing w:after="70"/>
      </w:pPr>
      <w:r>
        <w:rPr>
          <w:rFonts w:ascii="Calibri" w:cs="Calibri" w:eastAsia="Calibri" w:hAnsi="Calibri"/>
          <w:color w:val="14161A"/>
          <w:sz w:val="20"/>
          <w:szCs w:val="20"/>
        </w:rPr>
        <w:t xml:space="preserve">Entering a new industry pays 5 EP immediately, once per industry per game.</w:t>
      </w:r>
    </w:p>
    <w:p>
      <w:pPr>
        <w:pStyle w:val="ListParagraph"/>
        <w:numPr>
          <w:ilvl w:val="0"/>
          <w:numId w:val="2"/>
        </w:numPr>
        <w:spacing w:after="70"/>
      </w:pPr>
      <w:r>
        <w:rPr>
          <w:rFonts w:ascii="Calibri" w:cs="Calibri" w:eastAsia="Calibri" w:hAnsi="Calibri"/>
          <w:color w:val="14161A"/>
          <w:sz w:val="20"/>
          <w:szCs w:val="20"/>
        </w:rPr>
        <w:t xml:space="preserve">Companies score 1 EP per level at each year end, and land pays two bonuses at the finish.</w:t>
      </w:r>
    </w:p>
    <w:p>
      <w:pPr>
        <w:pStyle w:val="Heading1"/>
        <w:spacing w:after="130" w:before="260"/>
      </w:pPr>
      <w:r>
        <w:t xml:space="preserve">Components</w:t>
      </w:r>
    </w:p>
    <w:p>
      <w:pPr>
        <w:pStyle w:val="ListParagraph"/>
        <w:numPr>
          <w:ilvl w:val="0"/>
          <w:numId w:val="2"/>
        </w:numPr>
        <w:spacing w:after="70"/>
      </w:pPr>
      <w:r>
        <w:rPr>
          <w:rFonts w:ascii="Calibri" w:cs="Calibri" w:eastAsia="Calibri" w:hAnsi="Calibri"/>
          <w:color w:val="14161A"/>
          <w:sz w:val="20"/>
          <w:szCs w:val="20"/>
        </w:rPr>
        <w:t xml:space="preserve">1 city board of 16 districts, each holding 4 plots</w:t>
      </w:r>
    </w:p>
    <w:p>
      <w:pPr>
        <w:pStyle w:val="ListParagraph"/>
        <w:numPr>
          <w:ilvl w:val="0"/>
          <w:numId w:val="2"/>
        </w:numPr>
        <w:spacing w:after="70"/>
      </w:pPr>
      <w:r>
        <w:rPr>
          <w:rFonts w:ascii="Calibri" w:cs="Calibri" w:eastAsia="Calibri" w:hAnsi="Calibri"/>
          <w:color w:val="14161A"/>
          <w:sz w:val="20"/>
          <w:szCs w:val="20"/>
        </w:rPr>
        <w:t xml:space="preserve">60 Blueprint cards, 10 per industry, ordered level 1 on top through level 3</w:t>
      </w:r>
    </w:p>
    <w:p>
      <w:pPr>
        <w:pStyle w:val="ListParagraph"/>
        <w:numPr>
          <w:ilvl w:val="0"/>
          <w:numId w:val="2"/>
        </w:numPr>
        <w:spacing w:after="70"/>
      </w:pPr>
      <w:r>
        <w:rPr>
          <w:rFonts w:ascii="Calibri" w:cs="Calibri" w:eastAsia="Calibri" w:hAnsi="Calibri"/>
          <w:color w:val="14161A"/>
          <w:sz w:val="20"/>
          <w:szCs w:val="20"/>
        </w:rPr>
        <w:t xml:space="preserve">16 Megacorp tiles and 1 IPO tile</w:t>
      </w:r>
    </w:p>
    <w:p>
      <w:pPr>
        <w:pStyle w:val="ListParagraph"/>
        <w:numPr>
          <w:ilvl w:val="0"/>
          <w:numId w:val="2"/>
        </w:numPr>
        <w:spacing w:after="70"/>
      </w:pPr>
      <w:r>
        <w:rPr>
          <w:rFonts w:ascii="Calibri" w:cs="Calibri" w:eastAsia="Calibri" w:hAnsi="Calibri"/>
          <w:color w:val="14161A"/>
          <w:sz w:val="20"/>
          <w:szCs w:val="20"/>
        </w:rPr>
        <w:t xml:space="preserve">Industry building blocks in six colours, stackable to show company level</w:t>
      </w:r>
    </w:p>
    <w:p>
      <w:pPr>
        <w:pStyle w:val="ListParagraph"/>
        <w:numPr>
          <w:ilvl w:val="0"/>
          <w:numId w:val="2"/>
        </w:numPr>
        <w:spacing w:after="70"/>
      </w:pPr>
      <w:r>
        <w:rPr>
          <w:rFonts w:ascii="Calibri" w:cs="Calibri" w:eastAsia="Calibri" w:hAnsi="Calibri"/>
          <w:color w:val="14161A"/>
          <w:sz w:val="20"/>
          <w:szCs w:val="20"/>
        </w:rPr>
        <w:t xml:space="preserve">10 player discs each, in one colour per player</w:t>
      </w:r>
    </w:p>
    <w:p>
      <w:pPr>
        <w:pStyle w:val="ListParagraph"/>
        <w:numPr>
          <w:ilvl w:val="0"/>
          <w:numId w:val="2"/>
        </w:numPr>
        <w:spacing w:after="70"/>
      </w:pPr>
      <w:r>
        <w:rPr>
          <w:rFonts w:ascii="Calibri" w:cs="Calibri" w:eastAsia="Calibri" w:hAnsi="Calibri"/>
          <w:color w:val="14161A"/>
          <w:sz w:val="20"/>
          <w:szCs w:val="20"/>
        </w:rPr>
        <w:t xml:space="preserve">12 Logistic Hub markers, EP tokens, and money</w:t>
      </w:r>
    </w:p>
    <w:p>
      <w:pPr>
        <w:pStyle w:val="ListParagraph"/>
        <w:numPr>
          <w:ilvl w:val="0"/>
          <w:numId w:val="2"/>
        </w:numPr>
        <w:spacing w:after="70"/>
      </w:pPr>
      <w:r>
        <w:rPr>
          <w:rFonts w:ascii="Calibri" w:cs="Calibri" w:eastAsia="Calibri" w:hAnsi="Calibri"/>
          <w:color w:val="14161A"/>
          <w:sz w:val="20"/>
          <w:szCs w:val="20"/>
        </w:rPr>
        <w:t xml:space="preserve">6 persona cards (optional module)</w:t>
      </w:r>
    </w:p>
    <w:p>
      <w:pPr>
        <w:pStyle w:val="Heading1"/>
        <w:spacing w:after="130" w:before="260"/>
      </w:pPr>
      <w:r>
        <w:t xml:space="preserve">Setup</w:t>
      </w:r>
    </w:p>
    <w:p>
      <w:pPr>
        <w:spacing w:after="120" w:before="0"/>
      </w:pPr>
      <w:r>
        <w:rPr>
          <w:rFonts w:ascii="Calibri" w:cs="Calibri" w:eastAsia="Calibri" w:hAnsi="Calibri"/>
          <w:color w:val="14161A"/>
          <w:sz w:val="20"/>
          <w:szCs w:val="20"/>
        </w:rPr>
        <w:t xml:space="preserve">Place the four City Centre districts in the middle of the board, then fill the ring around them with twelve of the sixteen suburb districts drawn at random; return the rest to the box unseen.</w:t>
      </w:r>
    </w:p>
    <w:p>
      <w:pPr>
        <w:spacing w:after="120" w:before="0"/>
      </w:pPr>
      <w:r>
        <w:rPr>
          <w:rFonts w:ascii="Calibri" w:cs="Calibri" w:eastAsia="Calibri" w:hAnsi="Calibri"/>
          <w:color w:val="14161A"/>
          <w:sz w:val="20"/>
          <w:szCs w:val="20"/>
        </w:rPr>
        <w:t xml:space="preserve">Sort the Blueprints into six decks by industry, each ordered level 1 on top and level 3 at the bottom. The top card of every deck is public all game.</w:t>
      </w:r>
    </w:p>
    <w:p>
      <w:pPr>
        <w:spacing w:after="120" w:before="0"/>
      </w:pPr>
      <w:r>
        <w:rPr>
          <w:rFonts w:ascii="Calibri" w:cs="Calibri" w:eastAsia="Calibri" w:hAnsi="Calibri"/>
          <w:color w:val="14161A"/>
          <w:sz w:val="20"/>
          <w:szCs w:val="20"/>
        </w:rPr>
        <w:t xml:space="preserve">Place one price marker per industry on its base value on the Offer vs Demand chart. Shuffle the Megacorp tiles and reveal (players + 1); return the rest unseen.</w:t>
      </w:r>
    </w:p>
    <w:p>
      <w:pPr>
        <w:spacing w:after="120" w:before="0"/>
      </w:pPr>
      <w:r>
        <w:rPr>
          <w:rFonts w:ascii="Calibri" w:cs="Calibri" w:eastAsia="Calibri" w:hAnsi="Calibri"/>
          <w:color w:val="14161A"/>
          <w:sz w:val="20"/>
          <w:szCs w:val="20"/>
        </w:rPr>
        <w:t xml:space="preserve">Determine turn order randomly. Starting capital depends on seat: later seats receive less cash but draft their Blueprints earlier.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rPr>
          <w:tblHeader/>
        </w:trPr>
        <w:tc>
          <w:tcPr>
            <w:tcW w:type="dxa" w:w="1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Player count</w:t>
            </w:r>
          </w:p>
        </w:tc>
        <w:tc>
          <w:tcPr>
            <w:tcW w:type="dxa" w:w="68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Starting capital by seat</w:t>
            </w:r>
          </w:p>
        </w:tc>
      </w:tr>
      <w:tr>
        <w:tc>
          <w:tcPr>
            <w:tcW w:type="dxa" w:w="1600"/>
            <w:tcMar>
              <w:top w:type="dxa" w:w="60"/>
              <w:left w:type="dxa" w:w="90"/>
              <w:bottom w:type="dxa" w:w="60"/>
              <w:right w:type="dxa" w:w="90"/>
            </w:tcMar>
          </w:tcPr>
          <w:p>
            <w:r>
              <w:rPr>
                <w:rFonts w:ascii="Calibri" w:cs="Calibri" w:eastAsia="Calibri" w:hAnsi="Calibri"/>
                <w:b/>
                <w:bCs/>
                <w:color w:val="14161A"/>
                <w:sz w:val="18"/>
                <w:szCs w:val="18"/>
              </w:rPr>
              <w:t xml:space="preserve">2 players</w:t>
            </w:r>
          </w:p>
        </w:tc>
        <w:tc>
          <w:tcPr>
            <w:tcW w:type="dxa" w:w="6800"/>
            <w:tcMar>
              <w:top w:type="dxa" w:w="60"/>
              <w:left w:type="dxa" w:w="90"/>
              <w:bottom w:type="dxa" w:w="60"/>
              <w:right w:type="dxa" w:w="90"/>
            </w:tcMar>
          </w:tcPr>
          <w:p>
            <w:r>
              <w:rPr>
                <w:rFonts w:ascii="Calibri" w:cs="Calibri" w:eastAsia="Calibri" w:hAnsi="Calibri"/>
                <w:b w:val="false"/>
                <w:bCs w:val="false"/>
                <w:color w:val="14161A"/>
                <w:sz w:val="18"/>
                <w:szCs w:val="18"/>
              </w:rPr>
              <w:t xml:space="preserve">1st: $20 + 2 BP   2nd: $20 + 2 BP</w:t>
            </w:r>
          </w:p>
        </w:tc>
      </w:tr>
      <w:tr>
        <w:tc>
          <w:tcPr>
            <w:tcW w:type="dxa" w:w="1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3 players</w:t>
            </w:r>
          </w:p>
        </w:tc>
        <w:tc>
          <w:tcPr>
            <w:tcW w:type="dxa" w:w="68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1st: $25 + 1 BP   2nd: $25 + 2 BP   3rd: $20 + 3 BP</w:t>
            </w:r>
          </w:p>
        </w:tc>
      </w:tr>
      <w:tr>
        <w:tc>
          <w:tcPr>
            <w:tcW w:type="dxa" w:w="1600"/>
            <w:tcMar>
              <w:top w:type="dxa" w:w="60"/>
              <w:left w:type="dxa" w:w="90"/>
              <w:bottom w:type="dxa" w:w="60"/>
              <w:right w:type="dxa" w:w="90"/>
            </w:tcMar>
          </w:tcPr>
          <w:p>
            <w:r>
              <w:rPr>
                <w:rFonts w:ascii="Calibri" w:cs="Calibri" w:eastAsia="Calibri" w:hAnsi="Calibri"/>
                <w:b/>
                <w:bCs/>
                <w:color w:val="14161A"/>
                <w:sz w:val="18"/>
                <w:szCs w:val="18"/>
              </w:rPr>
              <w:t xml:space="preserve">4 players</w:t>
            </w:r>
          </w:p>
        </w:tc>
        <w:tc>
          <w:tcPr>
            <w:tcW w:type="dxa" w:w="6800"/>
            <w:tcMar>
              <w:top w:type="dxa" w:w="60"/>
              <w:left w:type="dxa" w:w="90"/>
              <w:bottom w:type="dxa" w:w="60"/>
              <w:right w:type="dxa" w:w="90"/>
            </w:tcMar>
          </w:tcPr>
          <w:p>
            <w:r>
              <w:rPr>
                <w:rFonts w:ascii="Calibri" w:cs="Calibri" w:eastAsia="Calibri" w:hAnsi="Calibri"/>
                <w:b w:val="false"/>
                <w:bCs w:val="false"/>
                <w:color w:val="14161A"/>
                <w:sz w:val="18"/>
                <w:szCs w:val="18"/>
              </w:rPr>
              <w:t xml:space="preserve">1st: $25 + 1 BP   2nd: $25 + 2 BP   3rd: $20 + 2 BP   4th: $20 + 3 BP</w:t>
            </w:r>
          </w:p>
        </w:tc>
      </w:tr>
    </w:tbl>
    <w:p>
      <w:pPr>
        <w:spacing w:after="120" w:before="120"/>
      </w:pPr>
      <w:r>
        <w:rPr>
          <w:rFonts w:ascii="Calibri" w:cs="Calibri" w:eastAsia="Calibri" w:hAnsi="Calibri"/>
          <w:i/>
          <w:iCs/>
          <w:color w:val="6B7280"/>
          <w:sz w:val="20"/>
          <w:szCs w:val="20"/>
        </w:rPr>
        <w:t xml:space="preserve">Drafting runs in reverse seat order, so the last player chooses first.</w:t>
      </w:r>
    </w:p>
    <w:p>
      <w:r>
        <w:br w:type="page"/>
      </w:r>
    </w:p>
    <w:p>
      <w:pPr>
        <w:pStyle w:val="Heading1"/>
        <w:spacing w:after="130" w:before="260"/>
      </w:pPr>
      <w:r>
        <w:t xml:space="preserve">The six industries</w:t>
      </w:r>
    </w:p>
    <w:p>
      <w:pPr>
        <w:spacing w:after="120" w:before="0"/>
      </w:pPr>
      <w:r>
        <w:rPr>
          <w:rFonts w:ascii="Calibri" w:cs="Calibri" w:eastAsia="Calibri" w:hAnsi="Calibri"/>
          <w:color w:val="14161A"/>
          <w:sz w:val="20"/>
          <w:szCs w:val="20"/>
        </w:rPr>
        <w:t xml:space="preserve">Each industry has its own economics and its own way of reaching customers. Setup / OPEX / Production are shown for levels 1, 2 and 3.</w:t>
      </w:r>
    </w:p>
    <w:tbl>
      <w:tblPr>
        <w:tblW w:type="dxa" w:w="801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700"/>
        <w:gridCol w:w="1200"/>
        <w:gridCol w:w="1350"/>
        <w:gridCol w:w="1350"/>
        <w:gridCol w:w="135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15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Industry</w:t>
            </w:r>
          </w:p>
        </w:tc>
        <w:tc>
          <w:tcPr>
            <w:tcW w:type="dxa" w:w="7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Base</w:t>
            </w:r>
          </w:p>
        </w:tc>
        <w:tc>
          <w:tcPr>
            <w:tcW w:type="dxa" w:w="12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Scaling</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1</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2</w:t>
            </w:r>
          </w:p>
        </w:tc>
        <w:tc>
          <w:tcPr>
            <w:tcW w:type="dxa" w:w="135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Level 3</w:t>
            </w:r>
          </w:p>
        </w:tc>
      </w:tr>
      <w:tr>
        <w:tc>
          <w:tcPr>
            <w:tcW w:type="dxa" w:w="560"/>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Utilities</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$2</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15 / 4 / 4</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20 / 7 / 8</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30 / 10 / 16</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Retail</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10 / 5 / 4</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15 / 9 / 8</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25 / 14 / 16</w:t>
            </w:r>
          </w:p>
        </w:tc>
      </w:tr>
      <w:tr>
        <w:tc>
          <w:tcPr>
            <w:tcW w:type="dxa" w:w="560"/>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Hospitality</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10 / 6 / 3</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15 / 10 / 6</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25 / 16 / 12</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Manufacturing</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20 / 4 / 3</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35 / 7 / 6</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60 / 10 / 12</w:t>
            </w:r>
          </w:p>
        </w:tc>
      </w:tr>
      <w:tr>
        <w:tc>
          <w:tcPr>
            <w:tcW w:type="dxa" w:w="560"/>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1500"/>
            <w:tcMar>
              <w:top w:type="dxa" w:w="60"/>
              <w:left w:type="dxa" w:w="90"/>
              <w:bottom w:type="dxa" w:w="60"/>
              <w:right w:type="dxa" w:w="90"/>
            </w:tcMar>
          </w:tcPr>
          <w:p>
            <w:r>
              <w:rPr>
                <w:rFonts w:ascii="Calibri" w:cs="Calibri" w:eastAsia="Calibri" w:hAnsi="Calibri"/>
                <w:b w:val="false"/>
                <w:bCs w:val="false"/>
                <w:color w:val="14161A"/>
                <w:sz w:val="18"/>
                <w:szCs w:val="18"/>
              </w:rPr>
              <w:t xml:space="preserve">Healthcare</w:t>
            </w:r>
          </w:p>
        </w:tc>
        <w:tc>
          <w:tcPr>
            <w:tcW w:type="dxa" w:w="7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Vertical</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20 / 5 / 2</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35 / 9 / 4</w:t>
            </w:r>
          </w:p>
        </w:tc>
        <w:tc>
          <w:tcPr>
            <w:tcW w:type="dxa" w:w="1350"/>
            <w:tcMar>
              <w:top w:type="dxa" w:w="60"/>
              <w:left w:type="dxa" w:w="90"/>
              <w:bottom w:type="dxa" w:w="60"/>
              <w:right w:type="dxa" w:w="90"/>
            </w:tcMar>
          </w:tcPr>
          <w:p>
            <w:r>
              <w:rPr>
                <w:rFonts w:ascii="Calibri" w:cs="Calibri" w:eastAsia="Calibri" w:hAnsi="Calibri"/>
                <w:b w:val="false"/>
                <w:bCs w:val="false"/>
                <w:color w:val="14161A"/>
                <w:sz w:val="18"/>
                <w:szCs w:val="18"/>
              </w:rPr>
              <w:t xml:space="preserve">60 / 14 / 8</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15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Technology</w:t>
            </w:r>
          </w:p>
        </w:tc>
        <w:tc>
          <w:tcPr>
            <w:tcW w:type="dxa" w:w="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Horizontal</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15 / 6 / 2</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25 / 10 / 4</w:t>
            </w:r>
          </w:p>
        </w:tc>
        <w:tc>
          <w:tcPr>
            <w:tcW w:type="dxa" w:w="135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40 / 16 / 8</w:t>
            </w:r>
          </w:p>
        </w:tc>
      </w:tr>
    </w:tbl>
    <w:p>
      <w:pPr>
        <w:spacing w:after="120" w:before="140"/>
      </w:pPr>
      <w:r>
        <w:rPr>
          <w:rFonts w:ascii="Calibri" w:cs="Calibri" w:eastAsia="Calibri" w:hAnsi="Calibri"/>
          <w:color w:val="14161A"/>
          <w:sz w:val="20"/>
          <w:szCs w:val="20"/>
        </w:rPr>
        <w:t xml:space="preserve">Vertical industries occupy a single plot and stack upward as they grow. Horizontal industries occupy one plot per level and must spread across adjacent plots.</w:t>
      </w:r>
    </w:p>
    <w:p>
      <w:pPr>
        <w:pStyle w:val="Heading2"/>
        <w:spacing w:after="130" w:before="260"/>
      </w:pPr>
      <w:r>
        <w:t xml:space="preserve">Who pays whom</w:t>
      </w:r>
    </w:p>
    <w:p>
      <w:pPr>
        <w:spacing w:after="120" w:before="0"/>
      </w:pPr>
      <w:r>
        <w:rPr>
          <w:rFonts w:ascii="Calibri" w:cs="Calibri" w:eastAsia="Calibri" w:hAnsi="Calibri"/>
          <w:color w:val="14161A"/>
          <w:sz w:val="20"/>
          <w:szCs w:val="20"/>
        </w:rPr>
        <w:t xml:space="preserve">Every company pays OPEX each quarter to companies in other industries. Its suppliers are printed on its Blueprint. The chain closes a loop, so no industry is ever a dead end.</w:t>
      </w:r>
    </w:p>
    <w:p>
      <w:pPr>
        <w:spacing w:after="120" w:before="0"/>
      </w:pPr>
      <w:r>
        <w:rPr>
          <w:rFonts w:ascii="Calibri" w:cs="Calibri" w:eastAsia="Calibri" w:hAnsi="Calibri"/>
          <w:color w:val="14161A"/>
          <w:sz w:val="20"/>
          <w:szCs w:val="20"/>
        </w:rPr>
        <w:t xml:space="preserve">The three suppliers are not equally common. Across the ten Blueprints of any one industry, Supplier 1 appears most often, Supplier 2 slightly less, and Supplier 3 least: roughly 35% / 35% / 29% of all supplier slots in that deck. Level 1 cards have one supplier, level 2 have two, and level 3 have all three.</w:t>
      </w:r>
    </w:p>
    <w:tbl>
      <w:tblPr>
        <w:tblW w:type="dxa" w:w="694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1560"/>
        <w:gridCol w:w="1560"/>
        <w:gridCol w:w="156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17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Industry</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1</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2</w:t>
            </w:r>
          </w:p>
        </w:tc>
        <w:tc>
          <w:tcPr>
            <w:tcW w:type="dxa" w:w="1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Supplier 3</w:t>
            </w:r>
          </w:p>
        </w:tc>
      </w:tr>
      <w:tr>
        <w:tc>
          <w:tcPr>
            <w:tcW w:type="dxa" w:w="560"/>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Utilities</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HO $4</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TE $3</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HC $3</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Retail</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 $6</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 $4</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 $4</w:t>
            </w:r>
          </w:p>
        </w:tc>
      </w:tr>
      <w:tr>
        <w:tc>
          <w:tcPr>
            <w:tcW w:type="dxa" w:w="560"/>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Hospitality</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MA $6</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HC $5</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RE $5</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Manufacturing</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HC $4</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RE $3</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UT $3</w:t>
            </w:r>
          </w:p>
        </w:tc>
      </w:tr>
      <w:tr>
        <w:tc>
          <w:tcPr>
            <w:tcW w:type="dxa" w:w="560"/>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1700"/>
            <w:tcMar>
              <w:top w:type="dxa" w:w="60"/>
              <w:left w:type="dxa" w:w="90"/>
              <w:bottom w:type="dxa" w:w="60"/>
              <w:right w:type="dxa" w:w="90"/>
            </w:tcMar>
          </w:tcPr>
          <w:p>
            <w:r>
              <w:rPr>
                <w:rFonts w:ascii="Calibri" w:cs="Calibri" w:eastAsia="Calibri" w:hAnsi="Calibri"/>
                <w:b w:val="false"/>
                <w:bCs w:val="false"/>
                <w:color w:val="14161A"/>
                <w:sz w:val="18"/>
                <w:szCs w:val="18"/>
              </w:rPr>
              <w:t xml:space="preserve">Healthcare</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RE $6</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UT $4</w:t>
            </w:r>
          </w:p>
        </w:tc>
        <w:tc>
          <w:tcPr>
            <w:tcW w:type="dxa" w:w="1560"/>
            <w:tcMar>
              <w:top w:type="dxa" w:w="60"/>
              <w:left w:type="dxa" w:w="90"/>
              <w:bottom w:type="dxa" w:w="60"/>
              <w:right w:type="dxa" w:w="90"/>
            </w:tcMar>
          </w:tcPr>
          <w:p>
            <w:r>
              <w:rPr>
                <w:rFonts w:ascii="Calibri" w:cs="Calibri" w:eastAsia="Calibri" w:hAnsi="Calibri"/>
                <w:b w:val="false"/>
                <w:bCs w:val="false"/>
                <w:color w:val="14161A"/>
                <w:sz w:val="18"/>
                <w:szCs w:val="18"/>
              </w:rPr>
              <w:t xml:space="preserve">TE $4</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17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Technology</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UT $6</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MA $5</w:t>
            </w:r>
          </w:p>
        </w:tc>
        <w:tc>
          <w:tcPr>
            <w:tcW w:type="dxa" w:w="156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HO $5</w:t>
            </w:r>
          </w:p>
        </w:tc>
      </w:tr>
    </w:tbl>
    <w:p>
      <w:pPr>
        <w:pStyle w:val="Heading2"/>
        <w:spacing w:after="130" w:before="260"/>
      </w:pPr>
      <w:r>
        <w:t xml:space="preserve">Industry abilities</w:t>
      </w:r>
    </w:p>
    <w:p>
      <w:pPr>
        <w:pStyle w:val="ListParagraph"/>
        <w:numPr>
          <w:ilvl w:val="0"/>
          <w:numId w:val="2"/>
        </w:numPr>
        <w:spacing w:after="70"/>
      </w:pPr>
      <w:r>
        <w:rPr>
          <w:rFonts w:ascii="Calibri" w:cs="Calibri" w:eastAsia="Calibri" w:hAnsi="Calibri"/>
          <w:color w:val="14161A"/>
          <w:sz w:val="20"/>
          <w:szCs w:val="20"/>
        </w:rPr>
        <w:t xml:space="preserve">Utilities: reaches demand across an N x N block of districts, where N is its level, positioned to encompass its whole footprint. Cannot use Logistic Hubs.</w:t>
      </w:r>
    </w:p>
    <w:p>
      <w:pPr>
        <w:pStyle w:val="ListParagraph"/>
        <w:numPr>
          <w:ilvl w:val="0"/>
          <w:numId w:val="2"/>
        </w:numPr>
        <w:spacing w:after="70"/>
      </w:pPr>
      <w:r>
        <w:rPr>
          <w:rFonts w:ascii="Calibri" w:cs="Calibri" w:eastAsia="Calibri" w:hAnsi="Calibri"/>
          <w:color w:val="14161A"/>
          <w:sz w:val="20"/>
          <w:szCs w:val="20"/>
        </w:rPr>
        <w:t xml:space="preserve">Retail: sells into one extra district per level. Cannot use Logistic Hubs.</w:t>
      </w:r>
    </w:p>
    <w:p>
      <w:pPr>
        <w:pStyle w:val="ListParagraph"/>
        <w:numPr>
          <w:ilvl w:val="0"/>
          <w:numId w:val="2"/>
        </w:numPr>
        <w:spacing w:after="70"/>
      </w:pPr>
      <w:r>
        <w:rPr>
          <w:rFonts w:ascii="Calibri" w:cs="Calibri" w:eastAsia="Calibri" w:hAnsi="Calibri"/>
          <w:color w:val="14161A"/>
          <w:sz w:val="20"/>
          <w:szCs w:val="20"/>
        </w:rPr>
        <w:t xml:space="preserve">Hospitality: sells one extra unit per business or hub adjacent to it, per level.</w:t>
      </w:r>
    </w:p>
    <w:p>
      <w:pPr>
        <w:pStyle w:val="ListParagraph"/>
        <w:numPr>
          <w:ilvl w:val="0"/>
          <w:numId w:val="2"/>
        </w:numPr>
        <w:spacing w:after="70"/>
      </w:pPr>
      <w:r>
        <w:rPr>
          <w:rFonts w:ascii="Calibri" w:cs="Calibri" w:eastAsia="Calibri" w:hAnsi="Calibri"/>
          <w:color w:val="14161A"/>
          <w:sz w:val="20"/>
          <w:szCs w:val="20"/>
        </w:rPr>
        <w:t xml:space="preserve">Manufacturing: sells one extra unit into another industry's demand row, per level.</w:t>
      </w:r>
    </w:p>
    <w:p>
      <w:pPr>
        <w:pStyle w:val="ListParagraph"/>
        <w:numPr>
          <w:ilvl w:val="0"/>
          <w:numId w:val="2"/>
        </w:numPr>
        <w:spacing w:after="70"/>
      </w:pPr>
      <w:r>
        <w:rPr>
          <w:rFonts w:ascii="Calibri" w:cs="Calibri" w:eastAsia="Calibri" w:hAnsi="Calibri"/>
          <w:color w:val="14161A"/>
          <w:sz w:val="20"/>
          <w:szCs w:val="20"/>
        </w:rPr>
        <w:t xml:space="preserve">Healthcare: reaches every district on the hub network without needing to touch a hub.</w:t>
      </w:r>
    </w:p>
    <w:p>
      <w:pPr>
        <w:pStyle w:val="ListParagraph"/>
        <w:numPr>
          <w:ilvl w:val="0"/>
          <w:numId w:val="2"/>
        </w:numPr>
        <w:spacing w:after="70"/>
      </w:pPr>
      <w:r>
        <w:rPr>
          <w:rFonts w:ascii="Calibri" w:cs="Calibri" w:eastAsia="Calibri" w:hAnsi="Calibri"/>
          <w:color w:val="14161A"/>
          <w:sz w:val="20"/>
          <w:szCs w:val="20"/>
        </w:rPr>
        <w:t xml:space="preserve">Technology: delivers 2 units to every demand icon it reaches.</w:t>
      </w:r>
    </w:p>
    <w:p>
      <w:r>
        <w:br w:type="page"/>
      </w:r>
    </w:p>
    <w:p>
      <w:pPr>
        <w:pStyle w:val="Heading1"/>
        <w:spacing w:after="130" w:before="260"/>
      </w:pPr>
      <w:r>
        <w:t xml:space="preserve">A quarter, phase by phase</w:t>
      </w:r>
    </w:p>
    <w:p>
      <w:pPr>
        <w:pStyle w:val="Heading2"/>
        <w:spacing w:after="130" w:before="260"/>
      </w:pPr>
      <w:r>
        <w:t xml:space="preserve">A. Planning</w:t>
      </w:r>
    </w:p>
    <w:p>
      <w:pPr>
        <w:spacing w:after="120" w:before="0"/>
      </w:pPr>
      <w:r>
        <w:rPr>
          <w:rFonts w:ascii="Calibri" w:cs="Calibri" w:eastAsia="Calibri" w:hAnsi="Calibri"/>
          <w:color w:val="14161A"/>
          <w:sz w:val="20"/>
          <w:szCs w:val="20"/>
        </w:rPr>
        <w:t xml:space="preserve">In turn order, each player places one worker at a time on the leftmost free space of a track. Players have two workers each, except in a two-player game where each has three.</w:t>
      </w:r>
    </w:p>
    <w:p>
      <w:pPr>
        <w:spacing w:after="120" w:before="0"/>
      </w:pPr>
      <w:r>
        <w:rPr>
          <w:rFonts w:ascii="Calibri" w:cs="Calibri" w:eastAsia="Calibri" w:hAnsi="Calibri"/>
          <w:color w:val="14161A"/>
          <w:sz w:val="20"/>
          <w:szCs w:val="20"/>
        </w:rPr>
        <w:t xml:space="preserve">Board Meeting is different: both of your workers go there together, as a pair.</w:t>
      </w:r>
    </w:p>
    <w:p>
      <w:pPr>
        <w:pStyle w:val="Heading2"/>
        <w:spacing w:after="130" w:before="260"/>
      </w:pPr>
      <w:r>
        <w:t xml:space="preserve">B. Action</w:t>
      </w:r>
    </w:p>
    <w:p>
      <w:pPr>
        <w:spacing w:after="120" w:before="0"/>
      </w:pPr>
      <w:r>
        <w:rPr>
          <w:rFonts w:ascii="Calibri" w:cs="Calibri" w:eastAsia="Calibri" w:hAnsi="Calibri"/>
          <w:color w:val="14161A"/>
          <w:sz w:val="20"/>
          <w:szCs w:val="20"/>
        </w:rPr>
        <w:t xml:space="preserve">Resolve the tracks from top to bottom, and within each track from right to left: last in, first out. A player acts once, plus one extra time for every player who placed after them on that track.</w:t>
      </w:r>
    </w:p>
    <w:p>
      <w:pPr>
        <w:spacing w:after="120" w:before="0"/>
      </w:pPr>
      <w:r>
        <w:rPr>
          <w:rFonts w:ascii="Calibri" w:cs="Calibri" w:eastAsia="Calibri" w:hAnsi="Calibri"/>
          <w:i/>
          <w:iCs/>
          <w:color w:val="6B7280"/>
          <w:sz w:val="20"/>
          <w:szCs w:val="20"/>
        </w:rPr>
        <w:t xml:space="preserve">Committing early buys extra actions but lets everyone else act first. That trade is the core of the game.</w:t>
      </w:r>
    </w:p>
    <w:p>
      <w:pPr>
        <w:pStyle w:val="Heading3"/>
        <w:spacing w:after="130" w:before="260"/>
      </w:pPr>
      <w:r>
        <w:t xml:space="preserve">Track 1 - Raise Capital</w:t>
      </w:r>
    </w:p>
    <w:p>
      <w:pPr>
        <w:pStyle w:val="ListParagraph"/>
        <w:numPr>
          <w:ilvl w:val="0"/>
          <w:numId w:val="2"/>
        </w:numPr>
        <w:spacing w:after="70"/>
      </w:pPr>
      <w:r>
        <w:rPr>
          <w:rFonts w:ascii="Calibri" w:cs="Calibri" w:eastAsia="Calibri" w:hAnsi="Calibri"/>
          <w:color w:val="14161A"/>
          <w:sz w:val="20"/>
          <w:szCs w:val="20"/>
        </w:rPr>
        <w:t xml:space="preserve">LOAN: take $20 from the bank and pledge one disc. Buy it back at year end for $30 / $35 / $40, or lose 5 EP per disc still pledged.</w:t>
      </w:r>
    </w:p>
    <w:p>
      <w:pPr>
        <w:pStyle w:val="ListParagraph"/>
        <w:numPr>
          <w:ilvl w:val="0"/>
          <w:numId w:val="2"/>
        </w:numPr>
        <w:spacing w:after="70"/>
      </w:pPr>
      <w:r>
        <w:rPr>
          <w:rFonts w:ascii="Calibri" w:cs="Calibri" w:eastAsia="Calibri" w:hAnsi="Calibri"/>
          <w:color w:val="14161A"/>
          <w:sz w:val="20"/>
          <w:szCs w:val="20"/>
        </w:rPr>
        <w:t xml:space="preserve">SELL: sell a plot at its board value, an unbuilt Blueprint (L1 $4 / L2 $8 / L3 $12), or a built company for half its setup, or full setup if upgraded.</w:t>
      </w:r>
    </w:p>
    <w:p>
      <w:pPr>
        <w:pStyle w:val="Heading3"/>
        <w:spacing w:after="130" w:before="260"/>
      </w:pPr>
      <w:r>
        <w:t xml:space="preserve">Track 2 - M&amp;A (Mergers &amp; Acquisitions)</w:t>
      </w:r>
    </w:p>
    <w:p>
      <w:pPr>
        <w:pStyle w:val="ListParagraph"/>
        <w:numPr>
          <w:ilvl w:val="0"/>
          <w:numId w:val="2"/>
        </w:numPr>
        <w:spacing w:after="70"/>
      </w:pPr>
      <w:r>
        <w:rPr>
          <w:rFonts w:ascii="Calibri" w:cs="Calibri" w:eastAsia="Calibri" w:hAnsi="Calibri"/>
          <w:color w:val="14161A"/>
          <w:sz w:val="20"/>
          <w:szCs w:val="20"/>
        </w:rPr>
        <w:t xml:space="preserve">BUY, in any of three forms:</w:t>
      </w:r>
    </w:p>
    <w:p>
      <w:pPr>
        <w:spacing w:after="60" w:before="0"/>
        <w:ind w:left="620"/>
      </w:pPr>
      <w:r>
        <w:rPr>
          <w:rFonts w:ascii="Calibri" w:cs="Calibri" w:eastAsia="Calibri" w:hAnsi="Calibri"/>
          <w:color w:val="14161A"/>
          <w:sz w:val="20"/>
          <w:szCs w:val="20"/>
        </w:rPr>
        <w:t xml:space="preserve">–  an unowned plot, at its board value;</w:t>
      </w:r>
    </w:p>
    <w:p>
      <w:pPr>
        <w:spacing w:after="60" w:before="0"/>
        <w:ind w:left="620"/>
      </w:pPr>
      <w:r>
        <w:rPr>
          <w:rFonts w:ascii="Calibri" w:cs="Calibri" w:eastAsia="Calibri" w:hAnsi="Calibri"/>
          <w:color w:val="14161A"/>
          <w:sz w:val="20"/>
          <w:szCs w:val="20"/>
        </w:rPr>
        <w:t xml:space="preserve">–  a distressed company exactly as it stands, for half its own setup cost, keeping its Blueprint and level;</w:t>
      </w:r>
    </w:p>
    <w:p>
      <w:pPr>
        <w:spacing w:after="100" w:before="0"/>
        <w:ind w:left="620"/>
      </w:pPr>
      <w:r>
        <w:rPr>
          <w:rFonts w:ascii="Calibri" w:cs="Calibri" w:eastAsia="Calibri" w:hAnsi="Calibri"/>
          <w:color w:val="14161A"/>
          <w:sz w:val="20"/>
          <w:szCs w:val="20"/>
        </w:rPr>
        <w:t xml:space="preserve">–  or the same distressed structure RENOVATED into something else, using a Blueprint from your hand, for half that Blueprint's setup. The card must match the level of the structure standing there, and from level 2 upwards its scaling type as well: a level 2 or 3 horizontal structure spreads across several plots and cannot be rebuilt as a vertical one, nor a vertical one as a horizontal. At level 1 both kinds occupy a single plot, so a level 1 structure is open to any level 1 Blueprint.</w:t>
      </w:r>
    </w:p>
    <w:p>
      <w:pPr>
        <w:pStyle w:val="ListParagraph"/>
        <w:numPr>
          <w:ilvl w:val="0"/>
          <w:numId w:val="2"/>
        </w:numPr>
        <w:spacing w:after="70"/>
      </w:pPr>
      <w:r>
        <w:rPr>
          <w:rFonts w:ascii="Calibri" w:cs="Calibri" w:eastAsia="Calibri" w:hAnsi="Calibri"/>
          <w:color w:val="14161A"/>
          <w:sz w:val="20"/>
          <w:szCs w:val="20"/>
        </w:rPr>
        <w:t xml:space="preserve">LAUNCH: build a Blueprint from hand onto plots you own. Entering that industry for the first time pays 5 EP immediately.</w:t>
      </w:r>
    </w:p>
    <w:p>
      <w:pPr>
        <w:spacing w:after="120" w:before="0"/>
      </w:pPr>
      <w:r>
        <w:rPr>
          <w:rFonts w:ascii="Calibri" w:cs="Calibri" w:eastAsia="Calibri" w:hAnsi="Calibri"/>
          <w:i/>
          <w:iCs/>
          <w:color w:val="6B7280"/>
          <w:sz w:val="20"/>
          <w:szCs w:val="20"/>
        </w:rPr>
        <w:t xml:space="preserve">You may build on plots owned by another player. They collect the rent, but the company is yours.</w:t>
      </w:r>
    </w:p>
    <w:p>
      <w:pPr>
        <w:pStyle w:val="Heading3"/>
        <w:spacing w:after="130" w:before="260"/>
      </w:pPr>
      <w:r>
        <w:t xml:space="preserve">Track 3 - R&amp;D (Research &amp; Development)</w:t>
      </w:r>
    </w:p>
    <w:p>
      <w:pPr>
        <w:pStyle w:val="ListParagraph"/>
        <w:numPr>
          <w:ilvl w:val="0"/>
          <w:numId w:val="2"/>
        </w:numPr>
        <w:spacing w:after="70"/>
      </w:pPr>
      <w:r>
        <w:rPr>
          <w:rFonts w:ascii="Calibri" w:cs="Calibri" w:eastAsia="Calibri" w:hAnsi="Calibri"/>
          <w:color w:val="14161A"/>
          <w:sz w:val="20"/>
          <w:szCs w:val="20"/>
        </w:rPr>
        <w:t xml:space="preserve">RESEARCH: draw the face-up top card of any industry deck. Hand limit 5.</w:t>
      </w:r>
    </w:p>
    <w:p>
      <w:pPr>
        <w:pStyle w:val="ListParagraph"/>
        <w:numPr>
          <w:ilvl w:val="0"/>
          <w:numId w:val="2"/>
        </w:numPr>
        <w:spacing w:after="70"/>
      </w:pPr>
      <w:r>
        <w:rPr>
          <w:rFonts w:ascii="Calibri" w:cs="Calibri" w:eastAsia="Calibri" w:hAnsi="Calibri"/>
          <w:color w:val="14161A"/>
          <w:sz w:val="20"/>
          <w:szCs w:val="20"/>
        </w:rPr>
        <w:t xml:space="preserve">UPGRADE: pay a company's setup cost again to raise it one level. Production and OPEX double. Vertical companies stack a block; horizontal companies claim one more adjacent plot. A company may only be upgraded once.</w:t>
      </w:r>
    </w:p>
    <w:p>
      <w:pPr>
        <w:pStyle w:val="Heading3"/>
        <w:spacing w:after="130" w:before="260"/>
      </w:pPr>
      <w:r>
        <w:t xml:space="preserve">Track 4 - Board Meeting</w:t>
      </w:r>
    </w:p>
    <w:p>
      <w:pPr>
        <w:spacing w:after="120" w:before="0"/>
      </w:pPr>
      <w:r>
        <w:rPr>
          <w:rFonts w:ascii="Calibri" w:cs="Calibri" w:eastAsia="Calibri" w:hAnsi="Calibri"/>
          <w:color w:val="14161A"/>
          <w:sz w:val="20"/>
          <w:szCs w:val="20"/>
        </w:rPr>
        <w:t xml:space="preserve">This track seats exactly two players, and the second seat sits under the IPO tile until the first Megacorp of the game is formed.</w:t>
      </w:r>
    </w:p>
    <w:p>
      <w:pPr>
        <w:pStyle w:val="ListParagraph"/>
        <w:numPr>
          <w:ilvl w:val="0"/>
          <w:numId w:val="2"/>
        </w:numPr>
        <w:spacing w:after="70"/>
      </w:pPr>
      <w:r>
        <w:rPr>
          <w:rFonts w:ascii="Calibri" w:cs="Calibri" w:eastAsia="Calibri" w:hAnsi="Calibri"/>
          <w:color w:val="14161A"/>
          <w:sz w:val="20"/>
          <w:szCs w:val="20"/>
        </w:rPr>
        <w:t xml:space="preserve">GO PUBLIC: merge companies to claim a Megacorp tile. You may only take this action if you actually hold the combination one of the available tiles asks for.</w:t>
      </w:r>
    </w:p>
    <w:p>
      <w:pPr>
        <w:pStyle w:val="ListParagraph"/>
        <w:numPr>
          <w:ilvl w:val="0"/>
          <w:numId w:val="2"/>
        </w:numPr>
        <w:spacing w:after="70"/>
      </w:pPr>
      <w:r>
        <w:rPr>
          <w:rFonts w:ascii="Calibri" w:cs="Calibri" w:eastAsia="Calibri" w:hAnsi="Calibri"/>
          <w:color w:val="14161A"/>
          <w:sz w:val="20"/>
          <w:szCs w:val="20"/>
        </w:rPr>
        <w:t xml:space="preserve">REPOSITION: move to first in turn order and place both workers together next quarter.</w:t>
      </w:r>
    </w:p>
    <w:p>
      <w:pPr>
        <w:spacing w:after="120" w:before="0"/>
      </w:pPr>
      <w:r>
        <w:rPr>
          <w:rFonts w:ascii="Calibri" w:cs="Calibri" w:eastAsia="Calibri" w:hAnsi="Calibri"/>
          <w:i/>
          <w:iCs/>
          <w:color w:val="14161A"/>
          <w:sz w:val="20"/>
          <w:szCs w:val="20"/>
        </w:rPr>
        <w:t xml:space="preserve">The IPO tile is not an action you can take. It is the prize for being first: whoever forms the first Megacorp of the game also takes the IPO tile, worth 5 EP, and that is what opens the second seat on this track for the rest of the game.</w:t>
      </w:r>
    </w:p>
    <w:p>
      <w:pPr>
        <w:spacing w:after="120" w:before="0"/>
      </w:pPr>
      <w:r>
        <w:rPr>
          <w:rFonts w:ascii="Calibri" w:cs="Calibri" w:eastAsia="Calibri" w:hAnsi="Calibri"/>
          <w:i/>
          <w:iCs/>
          <w:color w:val="6B7280"/>
          <w:sz w:val="20"/>
          <w:szCs w:val="20"/>
        </w:rPr>
        <w:t xml:space="preserve">Until then only one player can sit here each quarter, and a player who cannot form a Megacorp has only Reposition available.</w:t>
      </w:r>
    </w:p>
    <w:p>
      <w:pPr>
        <w:pStyle w:val="Heading2"/>
        <w:spacing w:after="130" w:before="260"/>
      </w:pPr>
      <w:r>
        <w:t xml:space="preserve">C. Production</w:t>
      </w:r>
    </w:p>
    <w:p>
      <w:pPr>
        <w:spacing w:after="120" w:before="0"/>
      </w:pPr>
      <w:r>
        <w:rPr>
          <w:rFonts w:ascii="Calibri" w:cs="Calibri" w:eastAsia="Calibri" w:hAnsi="Calibri"/>
          <w:color w:val="14161A"/>
          <w:sz w:val="20"/>
          <w:szCs w:val="20"/>
        </w:rPr>
        <w:t xml:space="preserve">Every company pays its OPEX. Before that money reaches the suppliers, rent is taken out: $3 per company level, divided across the plots the company occupies and paid to each plot's owner.</w:t>
      </w:r>
    </w:p>
    <w:p>
      <w:pPr>
        <w:spacing w:after="120" w:before="0"/>
      </w:pPr>
      <w:r>
        <w:rPr>
          <w:rFonts w:ascii="Calibri" w:cs="Calibri" w:eastAsia="Calibri" w:hAnsi="Calibri"/>
          <w:color w:val="14161A"/>
          <w:sz w:val="20"/>
          <w:szCs w:val="20"/>
        </w:rPr>
        <w:t xml:space="preserve">A company standing on its own land pays that rent to itself, so it comes straight back. A company on someone else's land is paying them every quarter.</w:t>
      </w:r>
    </w:p>
    <w:p>
      <w:pPr>
        <w:spacing w:after="120" w:before="0"/>
      </w:pPr>
      <w:r>
        <w:rPr>
          <w:rFonts w:ascii="Calibri" w:cs="Calibri" w:eastAsia="Calibri" w:hAnsi="Calibri"/>
          <w:color w:val="14161A"/>
          <w:sz w:val="20"/>
          <w:szCs w:val="20"/>
        </w:rPr>
        <w:t xml:space="preserve">Whatever remains of each supplier's OPEX goes into that supplier's industry pot. Companies then produce their listed output.</w:t>
      </w:r>
    </w:p>
    <w:p>
      <w:pPr>
        <w:spacing w:after="120" w:before="0"/>
      </w:pPr>
      <w:r>
        <w:rPr>
          <w:rFonts w:ascii="Calibri" w:cs="Calibri" w:eastAsia="Calibri" w:hAnsi="Calibri"/>
          <w:color w:val="A03030"/>
          <w:sz w:val="20"/>
          <w:szCs w:val="20"/>
        </w:rPr>
        <w:t xml:space="preserve">If you cannot pay, you enter Solvency and must liquidate assets at half their normal sale value until the debt is covered.</w:t>
      </w:r>
    </w:p>
    <w:p>
      <w:pPr>
        <w:pStyle w:val="Heading2"/>
        <w:spacing w:after="130" w:before="260"/>
      </w:pPr>
      <w:r>
        <w:t xml:space="preserve">D. Revenue</w:t>
      </w:r>
    </w:p>
    <w:p>
      <w:pPr>
        <w:pStyle w:val="Heading3"/>
        <w:spacing w:after="130" w:before="260"/>
      </w:pPr>
      <w:r>
        <w:t xml:space="preserve">B2C - selling to the city</w:t>
      </w:r>
    </w:p>
    <w:p>
      <w:pPr>
        <w:spacing w:after="120" w:before="0"/>
      </w:pPr>
      <w:r>
        <w:rPr>
          <w:rFonts w:ascii="Calibri" w:cs="Calibri" w:eastAsia="Calibri" w:hAnsi="Calibri"/>
          <w:color w:val="14161A"/>
          <w:sz w:val="20"/>
          <w:szCs w:val="20"/>
        </w:rPr>
        <w:t xml:space="preserve">In turn order, deliver production to demand icons your companies can reach. Each icon pays the current market price for that industry. A company may only serve columns up to its own level.</w:t>
      </w:r>
    </w:p>
    <w:p>
      <w:pPr>
        <w:spacing w:after="120" w:before="0"/>
      </w:pPr>
      <w:r>
        <w:rPr>
          <w:rFonts w:ascii="Calibri" w:cs="Calibri" w:eastAsia="Calibri" w:hAnsi="Calibri"/>
          <w:color w:val="14161A"/>
          <w:sz w:val="20"/>
          <w:szCs w:val="20"/>
        </w:rPr>
        <w:t xml:space="preserve">Anything you cannot deliver is recycled for $1 per unit.</w:t>
      </w:r>
    </w:p>
    <w:p>
      <w:pPr>
        <w:spacing w:after="120" w:before="0"/>
      </w:pPr>
      <w:r>
        <w:rPr>
          <w:rFonts w:ascii="Calibri" w:cs="Calibri" w:eastAsia="Calibri" w:hAnsi="Calibri"/>
          <w:color w:val="14161A"/>
          <w:sz w:val="20"/>
          <w:szCs w:val="20"/>
        </w:rPr>
        <w:t xml:space="preserve">Rows 3 and 4 of every district are locked during Year 1 and open from Quarter 5. At the end of Year 2 all filled demand is cleared and every row becomes available again.</w:t>
      </w:r>
    </w:p>
    <w:p>
      <w:pPr>
        <w:pStyle w:val="Heading3"/>
        <w:spacing w:after="130" w:before="260"/>
      </w:pPr>
      <w:r>
        <w:t xml:space="preserve">B2B - the industry pots</w:t>
      </w:r>
    </w:p>
    <w:p>
      <w:pPr>
        <w:spacing w:after="120" w:before="0"/>
      </w:pPr>
      <w:r>
        <w:rPr>
          <w:rFonts w:ascii="Calibri" w:cs="Calibri" w:eastAsia="Calibri" w:hAnsi="Calibri"/>
          <w:color w:val="14161A"/>
          <w:sz w:val="20"/>
          <w:szCs w:val="20"/>
        </w:rPr>
        <w:t xml:space="preserve">Each Megacorp first siphons $5 from the pot of every industry it is adjacent to. Each remaining pot is then split evenly among the active companies of that industry, one equal share each regardless of level.</w:t>
      </w:r>
    </w:p>
    <w:p>
      <w:pPr>
        <w:spacing w:after="120" w:before="0"/>
      </w:pPr>
      <w:r>
        <w:rPr>
          <w:rFonts w:ascii="Calibri" w:cs="Calibri" w:eastAsia="Calibri" w:hAnsi="Calibri"/>
          <w:color w:val="14161A"/>
          <w:sz w:val="20"/>
          <w:szCs w:val="20"/>
        </w:rPr>
        <w:t xml:space="preserve">Whatever will not divide cleanly stays in the pot and rides forward. A pot of $10 shared between three Healthcare companies pays $3 to each and carries $1 into next quarter, however large or small those companies are.</w:t>
      </w:r>
    </w:p>
    <w:p>
      <w:pPr>
        <w:spacing w:after="120" w:before="0"/>
      </w:pPr>
      <w:r>
        <w:rPr>
          <w:rFonts w:ascii="Calibri" w:cs="Calibri" w:eastAsia="Calibri" w:hAnsi="Calibri"/>
          <w:i/>
          <w:iCs/>
          <w:color w:val="6B7280"/>
          <w:sz w:val="20"/>
          <w:szCs w:val="20"/>
        </w:rPr>
        <w:t xml:space="preserve">A pot with no company of that type to pay simply carries over in full, growing quarter by quarter. An industry nobody serves is often the most profitable thing on the board.</w:t>
      </w:r>
    </w:p>
    <w:p>
      <w:pPr>
        <w:pStyle w:val="Heading2"/>
        <w:spacing w:after="130" w:before="260"/>
      </w:pPr>
      <w:r>
        <w:t xml:space="preserve">E. Closing</w:t>
      </w:r>
    </w:p>
    <w:p>
      <w:pPr>
        <w:spacing w:after="120" w:before="0"/>
      </w:pPr>
      <w:r>
        <w:rPr>
          <w:rFonts w:ascii="Calibri" w:cs="Calibri" w:eastAsia="Calibri" w:hAnsi="Calibri"/>
          <w:color w:val="14161A"/>
          <w:sz w:val="20"/>
          <w:szCs w:val="20"/>
        </w:rPr>
        <w:t xml:space="preserve">The first player places a new Logistic Hub on the boundary between two plots. All hubs form one shared network: a company touching any hub can reach any district any hub touches. Utilities and Retail can never use them.</w:t>
      </w:r>
    </w:p>
    <w:p>
      <w:pPr>
        <w:spacing w:after="120" w:before="0"/>
      </w:pPr>
      <w:r>
        <w:rPr>
          <w:rFonts w:ascii="Calibri" w:cs="Calibri" w:eastAsia="Calibri" w:hAnsi="Calibri"/>
          <w:color w:val="14161A"/>
          <w:sz w:val="20"/>
          <w:szCs w:val="20"/>
        </w:rPr>
        <w:t xml:space="preserve">At the close of Quarters 4, 8 and 12, a year-end review takes place: each active company places EP equal to its level on its own card.</w:t>
      </w:r>
    </w:p>
    <w:p>
      <w:pPr>
        <w:spacing w:after="120" w:before="0"/>
      </w:pPr>
      <w:r>
        <w:rPr>
          <w:rFonts w:ascii="Calibri" w:cs="Calibri" w:eastAsia="Calibri" w:hAnsi="Calibri"/>
          <w:color w:val="14161A"/>
          <w:sz w:val="20"/>
          <w:szCs w:val="20"/>
        </w:rPr>
        <w:t xml:space="preserve">Those points are banked permanently when the company is upgraded, sold, or merged into a Megacorp — whether its Blueprint is discarded with the structure as a distressed company, or returned to the bottom of its deck because that company became the Megacorp's headquarters.</w:t>
      </w:r>
    </w:p>
    <w:p>
      <w:r>
        <w:br w:type="page"/>
      </w:r>
    </w:p>
    <w:p>
      <w:pPr>
        <w:pStyle w:val="Heading1"/>
        <w:spacing w:after="130" w:before="260"/>
      </w:pPr>
      <w:r>
        <w:t xml:space="preserve">Prices: offer versus demand</w:t>
      </w:r>
    </w:p>
    <w:p>
      <w:pPr>
        <w:spacing w:after="120" w:before="0"/>
      </w:pPr>
      <w:r>
        <w:rPr>
          <w:rFonts w:ascii="Calibri" w:cs="Calibri" w:eastAsia="Calibri" w:hAnsi="Calibri"/>
          <w:color w:val="14161A"/>
          <w:sz w:val="20"/>
          <w:szCs w:val="20"/>
        </w:rPr>
        <w:t xml:space="preserve">Building a company pushes its own industry's price DOWN, because supply has risen. Every supplier that company now pays is pushed UP, because demand has risen. Two steps in either direction move the price by $1, and no price falls below $1.</w:t>
      </w:r>
    </w:p>
    <w:p>
      <w:pPr>
        <w:spacing w:after="120" w:before="0"/>
      </w:pPr>
      <w:r>
        <w:rPr>
          <w:rFonts w:ascii="Calibri" w:cs="Calibri" w:eastAsia="Calibri" w:hAnsi="Calibri"/>
          <w:color w:val="14161A"/>
          <w:sz w:val="20"/>
          <w:szCs w:val="20"/>
        </w:rPr>
        <w:t xml:space="preserve">This is the heart of the game. A crowded industry can collapse to $1, where a demand icon pays no better than recycling. An industry nobody has entered can climb past $8 while its pot quietly fills.</w:t>
      </w:r>
    </w:p>
    <w:p>
      <w:pPr>
        <w:pStyle w:val="Heading1"/>
        <w:spacing w:after="130" w:before="260"/>
      </w:pPr>
      <w:r>
        <w:t xml:space="preserve">The disc limit</w:t>
      </w:r>
    </w:p>
    <w:p>
      <w:pPr>
        <w:spacing w:after="120" w:before="0"/>
      </w:pPr>
      <w:r>
        <w:rPr>
          <w:rFonts w:ascii="Calibri" w:cs="Calibri" w:eastAsia="Calibri" w:hAnsi="Calibri"/>
          <w:color w:val="14161A"/>
          <w:sz w:val="20"/>
          <w:szCs w:val="20"/>
        </w:rPr>
        <w:t xml:space="preserve">Each player has exactly 10 discs, and every one is committed somewhere: one under each plot you own, one on top of each company you own, and one in the bank for each loan.</w:t>
      </w:r>
    </w:p>
    <w:p>
      <w:pPr>
        <w:spacing w:after="120" w:before="0"/>
      </w:pPr>
      <w:r>
        <w:rPr>
          <w:rFonts w:ascii="Calibri" w:cs="Calibri" w:eastAsia="Calibri" w:hAnsi="Calibri"/>
          <w:color w:val="14161A"/>
          <w:sz w:val="20"/>
          <w:szCs w:val="20"/>
        </w:rPr>
        <w:t xml:space="preserve">When your discs are gone you cannot buy land, build, or borrow until you free one up. Your whole footprint is bounded by them.</w:t>
      </w:r>
    </w:p>
    <w:p>
      <w:pPr>
        <w:pStyle w:val="Heading1"/>
        <w:spacing w:after="130" w:before="260"/>
      </w:pPr>
      <w:r>
        <w:t xml:space="preserve">Megacorps</w:t>
      </w:r>
    </w:p>
    <w:p>
      <w:pPr>
        <w:spacing w:after="120" w:before="0"/>
      </w:pPr>
      <w:r>
        <w:rPr>
          <w:rFonts w:ascii="Calibri" w:cs="Calibri" w:eastAsia="Calibri" w:hAnsi="Calibri"/>
          <w:color w:val="14161A"/>
          <w:sz w:val="20"/>
          <w:szCs w:val="20"/>
        </w:rPr>
        <w:t xml:space="preserve">Going public always means merging companies to claim a Megacorp tile, from the very first time it is done. Discard the combination shown on the tile, except one company of your choice which becomes the Megacorp's headquarters: it keeps its building and your disc, gains a Megacorp block, and returns its Blueprint to its industry deck.</w:t>
      </w:r>
    </w:p>
    <w:p>
      <w:pPr>
        <w:spacing w:after="120" w:before="0"/>
      </w:pPr>
      <w:r>
        <w:rPr>
          <w:rFonts w:ascii="Calibri" w:cs="Calibri" w:eastAsia="Calibri" w:hAnsi="Calibri"/>
          <w:color w:val="14161A"/>
          <w:sz w:val="20"/>
          <w:szCs w:val="20"/>
        </w:rPr>
        <w:t xml:space="preserve">The headquarters siphons $5 each quarter from the industry pot of every business adjacent to it. Each Megacorp claimed also locks one of your five company slots.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000"/>
      </w:tblGrid>
      <w:tr>
        <w:trPr>
          <w:tblHeader/>
        </w:trPr>
        <w:tc>
          <w:tcPr>
            <w:tcW w:type="dxa" w:w="2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Megacorp</w:t>
            </w:r>
          </w:p>
        </w:tc>
        <w:tc>
          <w:tcPr>
            <w:tcW w:type="dxa" w:w="26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Requires</w:t>
            </w:r>
          </w:p>
        </w:tc>
        <w:tc>
          <w:tcPr>
            <w:tcW w:type="dxa" w:w="12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Companies</w:t>
            </w:r>
          </w:p>
        </w:tc>
        <w:tc>
          <w:tcPr>
            <w:tcW w:type="dxa" w:w="10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Value</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Local Syndicate</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L1</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8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Founders’ Pact</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L1 + 1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9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Continental Holdings</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4 x L1</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10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Twin Ventures</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 x L1 + 2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10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Silent Merger</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L2</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11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Neighborhood Holdings</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 x L1 + 1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12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Regional Consolidated</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2 x L2 + 1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13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Crosstown Alliance</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L1 + 2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13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Metro Trust</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1 x L2 + 2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14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Crossroads Deal</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 x L1 + 3 x L2</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14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Skyline Consolidated</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3 x L3</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15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Apex Group</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 x L2 + 2 x L3</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16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Titan Industries</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2 x L3 + 1 x L4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3</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17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Empire Holdings</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3 x L3 + 1 x L4</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19 EP</w:t>
            </w:r>
          </w:p>
        </w:tc>
      </w:tr>
      <w:tr>
        <w:tc>
          <w:tcPr>
            <w:tcW w:type="dxa" w:w="2600"/>
            <w:tcMar>
              <w:top w:type="dxa" w:w="60"/>
              <w:left w:type="dxa" w:w="90"/>
              <w:bottom w:type="dxa" w:w="60"/>
              <w:right w:type="dxa" w:w="90"/>
            </w:tcMar>
          </w:tcPr>
          <w:p>
            <w:r>
              <w:rPr>
                <w:rFonts w:ascii="Calibri" w:cs="Calibri" w:eastAsia="Calibri" w:hAnsi="Calibri"/>
                <w:b/>
                <w:bCs/>
                <w:color w:val="14161A"/>
                <w:sz w:val="18"/>
                <w:szCs w:val="18"/>
              </w:rPr>
              <w:t xml:space="preserve">Colossus Group</w:t>
            </w:r>
          </w:p>
        </w:tc>
        <w:tc>
          <w:tcPr>
            <w:tcW w:type="dxa" w:w="2600"/>
            <w:tcMar>
              <w:top w:type="dxa" w:w="60"/>
              <w:left w:type="dxa" w:w="90"/>
              <w:bottom w:type="dxa" w:w="60"/>
              <w:right w:type="dxa" w:w="90"/>
            </w:tcMar>
          </w:tcPr>
          <w:p>
            <w:r>
              <w:rPr>
                <w:rFonts w:ascii="Calibri" w:cs="Calibri" w:eastAsia="Calibri" w:hAnsi="Calibri"/>
                <w:b w:val="false"/>
                <w:bCs w:val="false"/>
                <w:color w:val="14161A"/>
                <w:sz w:val="18"/>
                <w:szCs w:val="18"/>
              </w:rPr>
              <w:t xml:space="preserve">2 x L3 + 2 x L4</w:t>
            </w:r>
          </w:p>
        </w:tc>
        <w:tc>
          <w:tcPr>
            <w:tcW w:type="dxa" w:w="1200"/>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tcMar>
              <w:top w:type="dxa" w:w="60"/>
              <w:left w:type="dxa" w:w="90"/>
              <w:bottom w:type="dxa" w:w="60"/>
              <w:right w:type="dxa" w:w="90"/>
            </w:tcMar>
          </w:tcPr>
          <w:p>
            <w:r>
              <w:rPr>
                <w:rFonts w:ascii="Calibri" w:cs="Calibri" w:eastAsia="Calibri" w:hAnsi="Calibri"/>
                <w:b w:val="false"/>
                <w:bCs w:val="false"/>
                <w:color w:val="14161A"/>
                <w:sz w:val="18"/>
                <w:szCs w:val="18"/>
              </w:rPr>
              <w:t xml:space="preserve">22 EP</w:t>
            </w:r>
          </w:p>
        </w:tc>
      </w:tr>
      <w:tr>
        <w:tc>
          <w:tcPr>
            <w:tcW w:type="dxa" w:w="2600"/>
            <w:shd w:fill="F2F4F7" w:color="auto" w:val="clear"/>
            <w:tcMar>
              <w:top w:type="dxa" w:w="60"/>
              <w:left w:type="dxa" w:w="90"/>
              <w:bottom w:type="dxa" w:w="60"/>
              <w:right w:type="dxa" w:w="90"/>
            </w:tcMar>
          </w:tcPr>
          <w:p>
            <w:r>
              <w:rPr>
                <w:rFonts w:ascii="Calibri" w:cs="Calibri" w:eastAsia="Calibri" w:hAnsi="Calibri"/>
                <w:b/>
                <w:bCs/>
                <w:color w:val="14161A"/>
                <w:sz w:val="18"/>
                <w:szCs w:val="18"/>
              </w:rPr>
              <w:t xml:space="preserve">Omnicorp</w:t>
            </w:r>
          </w:p>
        </w:tc>
        <w:tc>
          <w:tcPr>
            <w:tcW w:type="dxa" w:w="26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1 x L3 + 3 x L4</w:t>
            </w:r>
          </w:p>
        </w:tc>
        <w:tc>
          <w:tcPr>
            <w:tcW w:type="dxa" w:w="12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4</w:t>
            </w:r>
          </w:p>
        </w:tc>
        <w:tc>
          <w:tcPr>
            <w:tcW w:type="dxa" w:w="10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25 EP</w:t>
            </w:r>
          </w:p>
        </w:tc>
      </w:tr>
    </w:tbl>
    <w:p>
      <w:r>
        <w:br w:type="page"/>
      </w:r>
    </w:p>
    <w:p>
      <w:pPr>
        <w:pStyle w:val="Heading1"/>
        <w:spacing w:after="130" w:before="260"/>
      </w:pPr>
      <w:r>
        <w:t xml:space="preserve">Scoring</w:t>
      </w:r>
    </w:p>
    <w:p>
      <w:pPr>
        <w:pStyle w:val="ListParagraph"/>
        <w:numPr>
          <w:ilvl w:val="0"/>
          <w:numId w:val="2"/>
        </w:numPr>
        <w:spacing w:after="70"/>
      </w:pPr>
      <w:r>
        <w:rPr>
          <w:rFonts w:ascii="Calibri" w:cs="Calibri" w:eastAsia="Calibri" w:hAnsi="Calibri"/>
          <w:color w:val="14161A"/>
          <w:sz w:val="20"/>
          <w:szCs w:val="20"/>
        </w:rPr>
        <w:t xml:space="preserve">5 EP the first time you build in each industry, paid immediately and never repeated.</w:t>
      </w:r>
    </w:p>
    <w:p>
      <w:pPr>
        <w:pStyle w:val="ListParagraph"/>
        <w:numPr>
          <w:ilvl w:val="0"/>
          <w:numId w:val="2"/>
        </w:numPr>
        <w:spacing w:after="70"/>
      </w:pPr>
      <w:r>
        <w:rPr>
          <w:rFonts w:ascii="Calibri" w:cs="Calibri" w:eastAsia="Calibri" w:hAnsi="Calibri"/>
          <w:color w:val="14161A"/>
          <w:sz w:val="20"/>
          <w:szCs w:val="20"/>
        </w:rPr>
        <w:t xml:space="preserve">1 EP per company level, placed on the card at each year end.</w:t>
      </w:r>
    </w:p>
    <w:p>
      <w:pPr>
        <w:pStyle w:val="ListParagraph"/>
        <w:numPr>
          <w:ilvl w:val="0"/>
          <w:numId w:val="2"/>
        </w:numPr>
        <w:spacing w:after="70"/>
      </w:pPr>
      <w:r>
        <w:rPr>
          <w:rFonts w:ascii="Calibri" w:cs="Calibri" w:eastAsia="Calibri" w:hAnsi="Calibri"/>
          <w:color w:val="14161A"/>
          <w:sz w:val="20"/>
          <w:szCs w:val="20"/>
        </w:rPr>
        <w:t xml:space="preserve">The Real-Estate Mogul: 10 EP for the most plots owned, 5 EP for second.</w:t>
      </w:r>
    </w:p>
    <w:p>
      <w:pPr>
        <w:pStyle w:val="ListParagraph"/>
        <w:numPr>
          <w:ilvl w:val="0"/>
          <w:numId w:val="2"/>
        </w:numPr>
        <w:spacing w:after="70"/>
      </w:pPr>
      <w:r>
        <w:rPr>
          <w:rFonts w:ascii="Calibri" w:cs="Calibri" w:eastAsia="Calibri" w:hAnsi="Calibri"/>
          <w:color w:val="14161A"/>
          <w:sz w:val="20"/>
          <w:szCs w:val="20"/>
        </w:rPr>
        <w:t xml:space="preserve">The Omnipresent: 10 EP for a presence in the most districts, 5 EP for second.</w:t>
      </w:r>
    </w:p>
    <w:p>
      <w:pPr>
        <w:pStyle w:val="ListParagraph"/>
        <w:numPr>
          <w:ilvl w:val="0"/>
          <w:numId w:val="2"/>
        </w:numPr>
        <w:spacing w:after="70"/>
      </w:pPr>
      <w:r>
        <w:rPr>
          <w:rFonts w:ascii="Calibri" w:cs="Calibri" w:eastAsia="Calibri" w:hAnsi="Calibri"/>
          <w:color w:val="14161A"/>
          <w:sz w:val="20"/>
          <w:szCs w:val="20"/>
        </w:rPr>
        <w:t xml:space="preserve">Megacorp tiles, worth 8 to 25 EP.</w:t>
      </w:r>
    </w:p>
    <w:p>
      <w:pPr>
        <w:pStyle w:val="ListParagraph"/>
        <w:numPr>
          <w:ilvl w:val="0"/>
          <w:numId w:val="2"/>
        </w:numPr>
        <w:spacing w:after="70"/>
      </w:pPr>
      <w:r>
        <w:rPr>
          <w:rFonts w:ascii="Calibri" w:cs="Calibri" w:eastAsia="Calibri" w:hAnsi="Calibri"/>
          <w:color w:val="14161A"/>
          <w:sz w:val="20"/>
          <w:szCs w:val="20"/>
        </w:rPr>
        <w:t xml:space="preserve">$10 = 1 EP at the end of the game.</w:t>
      </w:r>
    </w:p>
    <w:p>
      <w:pPr>
        <w:pStyle w:val="ListParagraph"/>
        <w:numPr>
          <w:ilvl w:val="0"/>
          <w:numId w:val="2"/>
        </w:numPr>
        <w:spacing w:after="70"/>
      </w:pPr>
      <w:r>
        <w:rPr>
          <w:rFonts w:ascii="Calibri" w:cs="Calibri" w:eastAsia="Calibri" w:hAnsi="Calibri"/>
          <w:color w:val="A03030"/>
          <w:sz w:val="20"/>
          <w:szCs w:val="20"/>
        </w:rPr>
        <w:t xml:space="preserve">Minus 5 EP for every loan disc still in the bank.</w:t>
      </w:r>
    </w:p>
    <w:p>
      <w:pPr>
        <w:spacing w:after="120" w:before="120"/>
      </w:pPr>
      <w:r>
        <w:rPr>
          <w:rFonts w:ascii="Calibri" w:cs="Calibri" w:eastAsia="Calibri" w:hAnsi="Calibri"/>
          <w:color w:val="14161A"/>
          <w:sz w:val="20"/>
          <w:szCs w:val="20"/>
        </w:rPr>
        <w:t xml:space="preserve">Ties split the points. If the final scores tie, the player with more money wins; if still tied, the player with fewer discs in the bank.</w:t>
      </w:r>
    </w:p>
    <w:p>
      <w:pPr>
        <w:pStyle w:val="Heading1"/>
        <w:spacing w:after="130" w:before="260"/>
      </w:pPr>
      <w:r>
        <w:t xml:space="preserve">Personas (optional module)</w:t>
      </w:r>
    </w:p>
    <w:p>
      <w:pPr>
        <w:spacing w:after="120" w:before="0"/>
      </w:pPr>
      <w:r>
        <w:rPr>
          <w:rFonts w:ascii="Calibri" w:cs="Calibri" w:eastAsia="Calibri" w:hAnsi="Calibri"/>
          <w:color w:val="14161A"/>
          <w:sz w:val="20"/>
          <w:szCs w:val="20"/>
        </w:rPr>
        <w:t xml:space="preserve">Deal one persona at random to each player at setup, alongside the random turn order. Personas are public: everyone can see what everyone else is good at, and should expect prices to move accordingly.</w:t>
      </w:r>
    </w:p>
    <w:p>
      <w:pPr>
        <w:spacing w:after="120" w:before="0"/>
      </w:pPr>
      <w:r>
        <w:rPr>
          <w:rFonts w:ascii="Calibri" w:cs="Calibri" w:eastAsia="Calibri" w:hAnsi="Calibri"/>
          <w:color w:val="14161A"/>
          <w:sz w:val="20"/>
          <w:szCs w:val="20"/>
        </w:rPr>
        <w:t xml:space="preserve">Six exist and only as many as there are players are dealt, so at least two sit out every game.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740"/>
      </w:tblGrid>
      <w:tr>
        <w:trPr>
          <w:tblHeader/>
        </w:trPr>
        <w:tc>
          <w:tcPr>
            <w:tcW w:type="dxa" w:w="56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
            </w:r>
          </w:p>
        </w:tc>
        <w:tc>
          <w:tcPr>
            <w:tcW w:type="dxa" w:w="210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Persona</w:t>
            </w:r>
          </w:p>
        </w:tc>
        <w:tc>
          <w:tcPr>
            <w:tcW w:type="dxa" w:w="5740"/>
            <w:shd w:fill="2C5F4F" w:color="auto" w:val="clear"/>
            <w:tcMar>
              <w:top w:type="dxa" w:w="60"/>
              <w:left w:type="dxa" w:w="90"/>
              <w:bottom w:type="dxa" w:w="60"/>
              <w:right w:type="dxa" w:w="90"/>
            </w:tcMar>
          </w:tcPr>
          <w:p>
            <w:r>
              <w:rPr>
                <w:rFonts w:ascii="Calibri" w:cs="Calibri" w:eastAsia="Calibri" w:hAnsi="Calibri"/>
                <w:b/>
                <w:bCs/>
                <w:color w:val="FFFFFF"/>
                <w:sz w:val="17"/>
                <w:szCs w:val="17"/>
              </w:rPr>
              <w:t xml:space="preserve">Power</w:t>
            </w:r>
          </w:p>
        </w:tc>
      </w:tr>
      <w:tr>
        <w:tc>
          <w:tcPr>
            <w:tcW w:type="dxa" w:w="560"/>
            <w:tcMar>
              <w:top w:type="dxa" w:w="60"/>
              <w:left w:type="dxa" w:w="90"/>
              <w:bottom w:type="dxa" w:w="60"/>
              <w:right w:type="dxa" w:w="90"/>
            </w:tcMar>
          </w:tcPr>
          <w:p>
            <w:r>
              <w:rPr>
                <w:rFonts w:ascii="Calibri" w:cs="Calibri" w:eastAsia="Calibri" w:hAnsi="Calibri"/>
                <w:b/>
                <w:bCs/>
                <w:color w:val="C74A7B"/>
                <w:sz w:val="18"/>
                <w:szCs w:val="18"/>
              </w:rPr>
              <w:t xml:space="preserve">TE</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Tech-Savvy</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Your Technology companies upgrade vertically, stacking on one plot instead of needing a free neighbour.</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2E93B8"/>
                <w:sz w:val="18"/>
                <w:szCs w:val="18"/>
              </w:rPr>
              <w:t xml:space="preserve">HC</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Preventive Doctor</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Healthcare companies ignore the level restriction: a level-1 clinic may serve any column of a Healthcare row.</w:t>
            </w:r>
          </w:p>
        </w:tc>
      </w:tr>
      <w:tr>
        <w:tc>
          <w:tcPr>
            <w:tcW w:type="dxa" w:w="560"/>
            <w:tcMar>
              <w:top w:type="dxa" w:w="60"/>
              <w:left w:type="dxa" w:w="90"/>
              <w:bottom w:type="dxa" w:w="60"/>
              <w:right w:type="dxa" w:w="90"/>
            </w:tcMar>
          </w:tcPr>
          <w:p>
            <w:r>
              <w:rPr>
                <w:rFonts w:ascii="Calibri" w:cs="Calibri" w:eastAsia="Calibri" w:hAnsi="Calibri"/>
                <w:b/>
                <w:bCs/>
                <w:color w:val="8B5FBF"/>
                <w:sz w:val="18"/>
                <w:szCs w:val="18"/>
              </w:rPr>
              <w:t xml:space="preserve">MA</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Product Manager</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When your Manufacturing cross-sells into another industry's row, it is paid that industry's price rather than its own.</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85A32"/>
                <w:sz w:val="18"/>
                <w:szCs w:val="18"/>
              </w:rPr>
              <w:t xml:space="preserve">HO</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Customer Oriented</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Hospitality companies upgrade horizontally, spreading across plots so more businesses and hubs sit adjacent to them.</w:t>
            </w:r>
          </w:p>
        </w:tc>
      </w:tr>
      <w:tr>
        <w:tc>
          <w:tcPr>
            <w:tcW w:type="dxa" w:w="560"/>
            <w:tcMar>
              <w:top w:type="dxa" w:w="60"/>
              <w:left w:type="dxa" w:w="90"/>
              <w:bottom w:type="dxa" w:w="60"/>
              <w:right w:type="dxa" w:w="90"/>
            </w:tcMar>
          </w:tcPr>
          <w:p>
            <w:r>
              <w:rPr>
                <w:rFonts w:ascii="Calibri" w:cs="Calibri" w:eastAsia="Calibri" w:hAnsi="Calibri"/>
                <w:b/>
                <w:bCs/>
                <w:color w:val="3FA96B"/>
                <w:sz w:val="18"/>
                <w:szCs w:val="18"/>
              </w:rPr>
              <w:t xml:space="preserve">RE</w:t>
            </w:r>
          </w:p>
        </w:tc>
        <w:tc>
          <w:tcPr>
            <w:tcW w:type="dxa" w:w="2100"/>
            <w:tcMar>
              <w:top w:type="dxa" w:w="60"/>
              <w:left w:type="dxa" w:w="90"/>
              <w:bottom w:type="dxa" w:w="60"/>
              <w:right w:type="dxa" w:w="90"/>
            </w:tcMar>
          </w:tcPr>
          <w:p>
            <w:r>
              <w:rPr>
                <w:rFonts w:ascii="Calibri" w:cs="Calibri" w:eastAsia="Calibri" w:hAnsi="Calibri"/>
                <w:b w:val="false"/>
                <w:bCs w:val="false"/>
                <w:color w:val="14161A"/>
                <w:sz w:val="18"/>
                <w:szCs w:val="18"/>
              </w:rPr>
              <w:t xml:space="preserve">Supply Chain Expert</w:t>
            </w:r>
          </w:p>
        </w:tc>
        <w:tc>
          <w:tcPr>
            <w:tcW w:type="dxa" w:w="5740"/>
            <w:tcMar>
              <w:top w:type="dxa" w:w="60"/>
              <w:left w:type="dxa" w:w="90"/>
              <w:bottom w:type="dxa" w:w="60"/>
              <w:right w:type="dxa" w:w="90"/>
            </w:tcMar>
          </w:tcPr>
          <w:p>
            <w:r>
              <w:rPr>
                <w:rFonts w:ascii="Calibri" w:cs="Calibri" w:eastAsia="Calibri" w:hAnsi="Calibri"/>
                <w:b w:val="false"/>
                <w:bCs w:val="false"/>
                <w:color w:val="14161A"/>
                <w:sz w:val="18"/>
                <w:szCs w:val="18"/>
              </w:rPr>
              <w:t xml:space="preserve">At the start of Revenue, raise one industry you do NOT operate by one step; your Retail then reaches one extra district this quarter.</w:t>
            </w:r>
          </w:p>
        </w:tc>
      </w:tr>
      <w:tr>
        <w:tc>
          <w:tcPr>
            <w:tcW w:type="dxa" w:w="560"/>
            <w:shd w:fill="F2F4F7" w:color="auto" w:val="clear"/>
            <w:tcMar>
              <w:top w:type="dxa" w:w="60"/>
              <w:left w:type="dxa" w:w="90"/>
              <w:bottom w:type="dxa" w:w="60"/>
              <w:right w:type="dxa" w:w="90"/>
            </w:tcMar>
          </w:tcPr>
          <w:p>
            <w:r>
              <w:rPr>
                <w:rFonts w:ascii="Calibri" w:cs="Calibri" w:eastAsia="Calibri" w:hAnsi="Calibri"/>
                <w:b/>
                <w:bCs/>
                <w:color w:val="C9971F"/>
                <w:sz w:val="18"/>
                <w:szCs w:val="18"/>
              </w:rPr>
              <w:t xml:space="preserve">UT</w:t>
            </w:r>
          </w:p>
        </w:tc>
        <w:tc>
          <w:tcPr>
            <w:tcW w:type="dxa" w:w="210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Government Relationship</w:t>
            </w:r>
          </w:p>
        </w:tc>
        <w:tc>
          <w:tcPr>
            <w:tcW w:type="dxa" w:w="5740"/>
            <w:shd w:fill="F2F4F7" w:color="auto" w:val="clear"/>
            <w:tcMar>
              <w:top w:type="dxa" w:w="60"/>
              <w:left w:type="dxa" w:w="90"/>
              <w:bottom w:type="dxa" w:w="60"/>
              <w:right w:type="dxa" w:w="90"/>
            </w:tcMar>
          </w:tcPr>
          <w:p>
            <w:r>
              <w:rPr>
                <w:rFonts w:ascii="Calibri" w:cs="Calibri" w:eastAsia="Calibri" w:hAnsi="Calibri"/>
                <w:b w:val="false"/>
                <w:bCs w:val="false"/>
                <w:color w:val="14161A"/>
                <w:sz w:val="18"/>
                <w:szCs w:val="18"/>
              </w:rPr>
              <w:t xml:space="preserve">Your Utilities production sells for $1 above the current price.</w:t>
            </w:r>
          </w:p>
        </w:tc>
      </w:tr>
    </w:tbl>
    <w:p>
      <w:pPr>
        <w:spacing w:after="120" w:before="120"/>
      </w:pPr>
      <w:r>
        <w:rPr>
          <w:rFonts w:ascii="Calibri" w:cs="Calibri" w:eastAsia="Calibri" w:hAnsi="Calibri"/>
          <w:i/>
          <w:iCs/>
          <w:color w:val="6B7280"/>
          <w:sz w:val="20"/>
          <w:szCs w:val="20"/>
        </w:rPr>
        <w:t xml:space="preserve">A persona tilts you toward an industry without locking you into it: the 5 EP for entering each industry still rewards breadth.</w:t>
      </w:r>
    </w:p>
    <w:p>
      <w:pPr>
        <w:pStyle w:val="Heading1"/>
        <w:spacing w:after="130" w:before="260"/>
      </w:pPr>
      <w:r>
        <w:t xml:space="preserve">Two-player game</w:t>
      </w:r>
    </w:p>
    <w:p>
      <w:pPr>
        <w:spacing w:after="120" w:before="0"/>
      </w:pPr>
      <w:r>
        <w:rPr>
          <w:rFonts w:ascii="Calibri" w:cs="Calibri" w:eastAsia="Calibri" w:hAnsi="Calibri"/>
          <w:color w:val="14161A"/>
          <w:sz w:val="20"/>
          <w:szCs w:val="20"/>
        </w:rPr>
        <w:t xml:space="preserve">Each player takes three workers instead of two, so the action tracks stay contested. Everything else is unchanged.</w:t>
      </w:r>
    </w:p>
    <w:p>
      <w:pPr>
        <w:pStyle w:val="Heading1"/>
        <w:spacing w:after="130" w:before="260"/>
      </w:pPr>
      <w:r>
        <w:t xml:space="preserve">Ending the game</w:t>
      </w:r>
    </w:p>
    <w:p>
      <w:pPr>
        <w:spacing w:after="120" w:before="0"/>
      </w:pPr>
      <w:r>
        <w:rPr>
          <w:rFonts w:ascii="Calibri" w:cs="Calibri" w:eastAsia="Calibri" w:hAnsi="Calibri"/>
          <w:color w:val="14161A"/>
          <w:sz w:val="20"/>
          <w:szCs w:val="20"/>
        </w:rPr>
        <w:t xml:space="preserve">The game ends at the close of Quarter 12. Move all EP still sitting on cards into your permanent supply, then score the endgame bonuses above. Highest total wins.</w:t>
      </w:r>
    </w:p>
    <w:p>
      <w:pPr>
        <w:spacing w:after="120" w:before="260"/>
      </w:pPr>
      <w:r>
        <w:rPr>
          <w:rFonts w:ascii="Calibri" w:cs="Calibri" w:eastAsia="Calibri" w:hAnsi="Calibri"/>
          <w:i/>
          <w:iCs/>
          <w:color w:val="6B7280"/>
          <w:sz w:val="15"/>
          <w:szCs w:val="15"/>
        </w:rPr>
        <w:t xml:space="preserve">Rules data generated from engine build b7db88d2.</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ENTREPRENEURS  ·  Rulebook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6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b/>
      <w:bCs/>
      <w:color w:val="14161A"/>
      <w:sz w:val="56"/>
      <w:szCs w:val="56"/>
    </w:rPr>
  </w:style>
  <w:style w:type="paragraph" w:styleId="Heading1">
    <w:name w:val="Heading 1"/>
    <w:basedOn w:val="Normal"/>
    <w:next w:val="Normal"/>
    <w:qFormat/>
    <w:pPr>
      <w:pBdr>
        <w:bottom w:val="single" w:color="D6DBE3" w:sz="6" w:space="6"/>
      </w:pBdr>
      <w:spacing w:after="140" w:before="320"/>
    </w:pPr>
    <w:rPr>
      <w:b/>
      <w:bCs/>
      <w:color w:val="2C5F4F"/>
      <w:sz w:val="30"/>
      <w:szCs w:val="30"/>
    </w:rPr>
  </w:style>
  <w:style w:type="paragraph" w:styleId="Heading2">
    <w:name w:val="Heading 2"/>
    <w:basedOn w:val="Normal"/>
    <w:next w:val="Normal"/>
    <w:qFormat/>
    <w:pPr>
      <w:spacing w:after="100" w:before="240"/>
    </w:pPr>
    <w:rPr>
      <w:b/>
      <w:bCs/>
      <w:color w:val="14161A"/>
      <w:sz w:val="24"/>
      <w:szCs w:val="24"/>
    </w:rPr>
  </w:style>
  <w:style w:type="paragraph" w:styleId="Heading3">
    <w:name w:val="Heading 3"/>
    <w:basedOn w:val="Normal"/>
    <w:next w:val="Normal"/>
    <w:qFormat/>
    <w:pPr>
      <w:spacing w:after="80" w:before="180"/>
    </w:pPr>
    <w:rPr>
      <w:b/>
      <w:bCs/>
      <w:color w:val="6B728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2026-08-08T15:44:16.021Z</dcterms:created>
  <dcterms:modified xsi:type="dcterms:W3CDTF">2026-08-08T15:44:16.022Z</dcterms:modified>
</cp:coreProperties>
</file>

<file path=docProps/custom.xml><?xml version="1.0" encoding="utf-8"?>
<Properties xmlns="http://schemas.openxmlformats.org/officeDocument/2006/custom-properties" xmlns:vt="http://schemas.openxmlformats.org/officeDocument/2006/docPropsVTypes"/>
</file>