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V19</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 bank pays for what the demand icons take and $1 a unit for recycling, and lends $20 a disc, and that is every faucet there is -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$19 and three cards against seat 1's $25 and one card - enough to matter in the first two quarters, not enough to decide a game. One more card costs exactly $3, and seats holding the same number of cards hold the same money. That is not how the table used to read: it paid $25/1, $25/2, $20/2, $20/3, which handed the third seat the second seat's cards for $5 less AND the fourth seat's money for a card fewer - strictly the worst chair at the table, with nothing offered for it. Measured over 500 four-player games it barely mattered (the seats ran 20.8 / 28.6 / 23.8 / 26.8 per cent, and swapping the second and third seats' money did not swap their results, so the $5 was never what moved them). It is fixed because a player can SEE it, not because it was costing them games.</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touching it - corners included, inside a district -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and the supplier bill are charged separately, but together they still come to exactly what the Blueprint charges, so the rate decides a SPLIT rather than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You can only sell your own land - though if a rival built on a plot of yours, selling it does stop their building until the ground is bought again, so land under somebody else's company is leverage.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symmetry - a build lifts each supplier one step and drops its own industry one step -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used to be one payment split two ways: the company paid its whole OPEX, the landlord took $2 a level out of it, and only the remainder reached the pots - so on your own ground you solemnly paid yourself and took it back. The money is the same. Two bills, each going to one place, is simply what a table can do without a calculator. Megacorp headquarters have always been billed this way, so it is the rest of the board catching up with them. One thing did change: a company standing on ground nobody owns used to be charged rent that reached no landlord at all and vanished. There is no landlord, so now it pays no rent.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at 2-3 players, 10 EP each at 4 or more.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distressed shell that is bought back scores its levels again for its new owner, so a company can score twice in its life.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tithe to whoever builds beside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At two and three players: 5 EP alone, 2 EP each if two tie, 1 EP each if three or more do. At four players and up every figure doubles - 10 EP alone, 4 each for a two-way tie, 2 each beyond that. Second place gets nothing at any count.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awards pay out the same ~29 EP over a game whether two people are chasing them or six, so a rate tuned for a small table is a rounding error at a big one - land is 17% of a winning score at two seats and 3.5% at six. At 5 EP the player holding the most ground wins BELOW what an indifferent seat would take, at every count: chasing land was a trap. Doubling from four players up puts that race back at or above chance without flattening the game - lead changes go up at every table size and wire-to-wire games go down. The same change at two and three makes land 41% and 33% of a winning score and the game measurably settles, so the small tables keep the old rate. Paying a runner-up is worse than paying nobody: half again the EP, and the land leader wins less often.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150 games a table size on the rules as they stand - the table-scaled land award and the Megacorp tithe - across every seat: companies and upgrades 38-43%, entering an industry 13-14%, land awards 20% at two seats, 14% at three, 18% at four, 14% at five and 12% at six, forming a Megacorp 7-14%, the brand dividend 5-12%, the tithe about 1-2% each way, cash on hand 11-14%, and unpaid loans about -1%. Land no longer collapses with the head count: it was 6% at six seats before the award scaled.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of those numbers are worth a designer's attention. CASH ON HAND IS ABOUT A THIRD OF A WINNING SCORE at every table size - a great deal of weight for a rule that reads as rounding up the leftovers, and it means a player who simply does not spend scores comparably to one who builds. And THE LAND AWARDS SHRINK AS THE TABLE GROWS, from 20% of the winner's points at two seats to 5% at six with a flat prize, because a fixed prize is split among more claimants while every other source scales with how much you do - which is why the prize now doubles from four players up. Cash is the lever left if the balance is ever revisited.</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jargon is load-bearing, not flavour. Playtesters who had never played a heavy economic game still knew roughly what R&amp;D and a supply chain were, and that knowledge did real work in teaching - they guessed what the tracks did before the tracks were explained. The one place the game breaks from real usage is worth naming: OPEX here is the printed running cost of a company, split at the table into a supplier bill and ground rent, and the game never bills wages or stock beyond that. A finance person will read the word as broader than the game means it. The trade was deliberate - splitting the two payments is what let the table stop doing arithmetic mid-quarter - but it is the term most likely to need a second sentence when you teach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Vertical and horizontal integration are the entries most worth reading twice. They are the real distinction - Carnegie buying his own coal mines against a chain opening more shops - and they are also the game's biggest open balance question. A horizontal company reaches level 4 in 3 per cent of games and a vertical one in 22, because a horizontal upgrade needs empty ground of yours beside the building and the board runs out of it. The vocabulary is honest; the numbers behind it are not yet even.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columns rather than three. The obvious shape is term / real meaning / game meaning, and it reads well on paper - but the third column is the one that matters at the table and it was the one clipped off the side of a phone. Folding the two halves into one cell keeps the pairing and survives a 390px screen.</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is written out of the card data itself and checked against it cell by cell in check_rulebook.mjs, so a card cannot be retuned without the book following. It is the one part of the book nobody should ever edit by hand.</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v19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v19</dc:title>
  <dc:creator>Entrepreneurs</dc:creator>
  <dc:description>Designer's edition - includes the notes</dc:description>
  <cp:lastModifiedBy>Un-named</cp:lastModifiedBy>
  <cp:revision>1</cp:revision>
  <dcterms:created xsi:type="dcterms:W3CDTF">2026-09-21T12:03:05.727Z</dcterms:created>
  <dcterms:modified xsi:type="dcterms:W3CDTF">2026-09-21T12:03:05.727Z</dcterms:modified>
</cp:coreProperties>
</file>

<file path=docProps/custom.xml><?xml version="1.0" encoding="utf-8"?>
<Properties xmlns="http://schemas.openxmlformats.org/officeDocument/2006/custom-properties" xmlns:vt="http://schemas.openxmlformats.org/officeDocument/2006/docPropsVTypes"/>
</file>