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 Empty seats can be filled with bots.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The host may switch them off.</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Ten discs also makes selling land a genuine decision rather than a pure loss.</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fourth.</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sell whatever they choose at normal prices. If the bill still cannot be met when a company's OPEX comes due, that company enters SOLVENCY and the sale is forced at half rates: Blueprints fetch $2 / $4 / $6, plots fetch half their value, companies fetch half what a voluntary sale would pay.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Three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Scoring on the card rather than straight into the bank is what makes upgrading a company feel like harvesting it, and it is why the standings can be read honestly at any point without a separate 'if the game ended now' calculation.</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their remaining upgrades, and any level EP they had not scored yet, for a lump sum now and a parasite on your neighbours. EP already on their cards vest, so those are safe.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5 EP entry bonus used to be the strongest steering mechanism in the game, worth five year-end levels. At 3 EP a level it is worth less than a level-2 company, which is the intended correction: breadth still pays, but it no longer beats depth on its own. Both are now paid on construction, so neither can be lost to a late solvency event.</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the host may switch them off for a first game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5 EP breadth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(half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cost, or the full cost if upgraded (half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Full rules with designer's notes</dc:description>
  <cp:lastModifiedBy>Un-named</cp:lastModifiedBy>
  <cp:revision>1</cp:revision>
  <dcterms:created xsi:type="dcterms:W3CDTF">2026-08-14T14:14:36.208Z</dcterms:created>
  <dcterms:modified xsi:type="dcterms:W3CDTF">2026-08-14T14:14:36.208Z</dcterms:modified>
</cp:coreProperties>
</file>

<file path=docProps/custom.xml><?xml version="1.0" encoding="utf-8"?>
<Properties xmlns="http://schemas.openxmlformats.org/officeDocument/2006/custom-properties" xmlns:vt="http://schemas.openxmlformats.org/officeDocument/2006/docPropsVTypes"/>
</file>