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V16</w:t>
      </w:r>
    </w:p>
    <w:p>
      <w:pPr>
        <w:spacing w:after="0"/>
        <w:jc w:val="center"/>
      </w:pPr>
      <w:r>
        <w:rPr>
          <w:rFonts w:ascii="Consolas" w:cs="Consolas" w:eastAsia="Consolas" w:hAnsi="Consolas"/>
          <w:color w:val="6B6B78"/>
          <w:sz w:val="17"/>
          <w:szCs w:val="17"/>
        </w:rPr>
        <w:t xml:space="preserve">Designer's edition - includes the notes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$1. Reading that pressure is the game.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economy is a closed loop on purpose. There is no faucet other than the bank loan and the $1 recycling floor, so a table that all builds the same thing genuinely impoverishes itself. Every playtest that felt flat was a table that had not noticed this yet.</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Shuffling the decks whole is what puts a big company within reach early, for a player willing to take the loan or sell hard to afford it. It also means the draft cannot be planned in advance: what is on top is luck, and what you do about it is not.</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which is twice the number of players.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Reverse-order drafting is the only catch-up mechanism in the game, and it is deliberately small. Seat 4 in a four-player game opens with $20 and three cards against seat 1's $25 and one card - enough to matter in the first two quarters, not enough to decide a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disc limit is the real brake on the game, not money. Cash arrives in floods once your pots start paying, and without a hard cap on presence the leader would simply buy the map. Twelve discs also makes selling land a genuine decision rather than a pure loss. It was ten until the count was measured: ten refused about a quarter of every sideways company's attempts to grow for want of a disc, which is most of why Manufacturing, Utilities and Technology spent whole games at level 1. Twelve takes that to 18%. Fifteen was tried and mostly bought land sprawl.</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First-in-last-out worker placement is the spine of the game. It is the only mechanism that makes the turn order matter continuously rather than once per round, and it is why Reposition is worth two workers to a player sitting at the back of the order.</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You may buy a distressed structure as it stands for half its own setup cost, keeping its Blueprint and level, or renovate it with a card from your hand for half that card's setup cost. Any distressed structure is fair game, including one you sold yourself - buying it back as it stands needs no card at all.</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$3 a level and is now $2. Rent is not an extra bill: a company pays its OPEX and nothing else, and the rent is carved OUT of that payment - whatever survives it goes into the supplier pots. So the rate decides a SPLIT, not a cost: at $3 the landlords took 57 cents of every OPEX dollar and the pots got 43; at $2 it is 38 and 62. Measured: the player leading at the halfway mark goes on to win 36% of four-player games instead of 41%, and 28% of six-player games instead of 31%, with the winning score and the industry balance unchanged. THE TWO-PLAYER GAME IS THE EXCEPTION and moves the other way, 60% to 67%: with only two seats there is nobody else for the relief to spread across. $2 is a measured optimum rather than a direction of travel - at $1 the halfway leader wins 47% of four-player games and 38% of six-player ones, worse than $3 ever was, so the gain does not continue downwards. See audit_rent_one.js, audit_rent_scaled.js and audit_rent_flow.js.</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rule exists so a desperate player has one more thing to sell without immediately losing the company, and so an opponent's distressed land is worth watching. It is deliberately not a way to attack someone else's building - you can only sell your own.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Launching a company puts one supply mark on its own industry, and one demand mark on every supplier industry printed on its Blueprint.</w:t>
      </w:r>
    </w:p>
    <w:p>
      <w:pPr>
        <w:spacing w:after="120" w:line="276"/>
      </w:pPr>
      <w:r>
        <w:rPr>
          <w:rFonts w:ascii="Calibri" w:cs="Calibri" w:eastAsia="Calibri" w:hAnsi="Calibri"/>
          <w:color w:val="1A1A1A"/>
          <w:sz w:val="21"/>
          <w:szCs w:val="21"/>
        </w:rPr>
        <w:t xml:space="preserve">Two steps in either direction move the price by $1, and no price ever falls below $1.</w:t>
      </w:r>
    </w:p>
    <w:p>
      <w:pPr>
        <w:spacing w:after="120" w:line="276"/>
      </w:pPr>
      <w:r>
        <w:rPr>
          <w:rFonts w:ascii="Calibri" w:cs="Calibri" w:eastAsia="Calibri" w:hAnsi="Calibri"/>
          <w:color w:val="1A1A1A"/>
          <w:sz w:val="21"/>
          <w:szCs w:val="21"/>
        </w:rPr>
        <w:t xml:space="preserve">A crowded industry can sink to $1 - exactly what you get for recycling goods you could not sell, so at that point selling and scrapping pay the same. A neglected one that half the table depends on can climb past $8 a unit.</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asymmetry between demand (+1 per company, immediately) and supply (-1 per two companies) is what stops a runaway. It means being the second builder in an industry is much better than being the fifth, but it also means feeding a crowded industry pays more every time somebody joins it.</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$2 for every level standing on a plot - goes to whoever owns that plot. A vertical company stacks all its levels on one plot, so its whole rent goes to one landlord; a horizontal one puts a level on each plot it covers, so each landlord collects $2.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Selling at full price under duress made the shortfall window strictly better than planning ahead - you could ignore your OPEX, wait to be forced, and lose nothing. Halving it is what makes the Raise Capital track worth a worker.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Forced liquidation pays exactly half of a voluntary sale across the board. Being caught short is meant to hurt enough that players keep a buffer, without being a death spiral - a solvency event usually costs a player a quarter, not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Technology's doubler and Hospitality's neighbour bonus are the two abilities that scale with the board rather than with the card, and they are the reason those two industries look weak on paper and play strong. Utilities was originally 'distance less than level from any home district', which quietly let a level-3 utility see the entire city; it now reads an honest N x N block.</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EP a level, paid on completion, is the change that made building feel like the point of the game rather than a way to fund the land awards. At 1 EP a level, paid a quarter or two later, a company had to survive to be worth anything and still lost to cash; now the act of building is the reward, and the risk of a late solvency event no longer eats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EP used to sit on the company's card until they vested - on upgrade, sale, merger or at the end of the game. It never changed a single final score, because the standings always counted the cards too and nothing could clear a card without vesting it first, so all it bought was a second pile to keep straight and a question - 'is that vested?' - with nothing riding on the answer. Now the EP go where they were always going to end up.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$2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wider draw at five and six is not variety for its own sake. A second Megacorp calls the final quarter, and the biggest tables are the ones with most reason to want that door open - twelve quarters with six people deliberating is a long evening. With the full box in play a second merger becomes findable rather than a matter of whether the two tiles you could use happened to be drawn: games ending early go from 8% at four players to 21% at five and 36% at six, and the average six-player game ends about two thirds of a quarter sooner. The deadline is CALLED far more often than it bites - 82% of six-player games against 25% of four-player ones - because a second Megacorp landing in Q11 or Q12 names a final quarter the game was going to play anyway.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Before the tiers, a Local Syndicate built out of three level-1 companies earned exactly as much every quarter as an Omnicorp built out of four level-3s, and the Megacorp had grown to 33% of a winning score - the largest single bucket in the game, ahead of companies. Dividing the brand by the tier halved that to 17% and took the winner’s lead over last from 58.6 EP to 48.7, without making the merger itself any rarer. The draw rule barely registers at four players, where eight random tiles out of sixteen already average two per tier; it earns its keep at two, where it took the unclaimable tiles out of the box and Megacorps formed rose from 1.00 a game to 1.26.</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merger is meant to be a real decision, not a free bonus: you are trading away the companies' production and their remaining upgrades for a lump sum now, a headquarters that collects without trading, and a district that scores around it. Every EP those companies already scored is banked and stays banked. It is strongest in Year 3 and usually a mistake in Year 1.</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briefly given its own scoring line while the balance of land was being investigated. It has been folded back into cash: the split changed no totals, and asking a table to keep a running rent tally all game to divide one number into two halves that add back to it is bookkeeping without a decision. The digital build still shows the flow, where it costs nothing. Land plus rent is about 27% of a winning score at two seats and 14% at six - see audit_idle_land.js.</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awards used to pay 10 and 5 and split between ties, which meant almost everybody collected something and holding land was never really a contest - it was 21% of an average seat's score for very little decision-making. Paying only the leader, and paying badly for a draw, drops it to about 9% and turns it back into a race.</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second Megacorp is a deadline rather than a shortcut. A player who can assemble two of them has spent the game merging, and the rest of the table would otherwise have four more quarters to be run away from. In practice how often it bites depends entirely on the table: it ends the game early in 10% of two-player games, 1% of three-player, 8% of four-player, 21% of five-player and 36% of six-player ones. At the biggest tables - the ones with the most reason to want a shorter evening - it is doing real work; at three seats the game essentially always runs the full twelve quarters. What it really does is put a clock on the leader’s last merger.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two dials were set together against 300 games a case. At 3 EP a level, companies were 32% of an average seat's score and everything else faded behind them; at 1 EP an upgrade stopped being worth paying the setup cost twice and upgraded companies fell from 5.1 a game to 3.1, while the 5 EP entry bonus swelled to 27% of a score for a decision that is barely one. Two and three put nothing over a third, and building is still the biggest single thing. Re-measured over 250 games a table size on the rules as they stand, across every seat: companies and upgrades 32-35%, cash on hand 25-28%, entering an industry 13-15%, the three Megacorp lines together 10-22%, land awards 19% at two seats falling to 6% at six, and unpaid loans about -1%. See audit_state_of_play.js.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of those numbers are worth a designer's attention. CASH ON HAND IS ABOUT A THIRD OF A WINNING SCORE at every table size - a great deal of weight for a rule that reads as rounding up the leftovers, and it means a player who simply does not spend scores comparably to one who builds. And THE LAND AWARDS SHRINK AS THE TABLE GROWS, from 18% of the winner's points at two seats to 5% at six, because two fixed 10 EP prizes are split among more claimants while every other source scales with how much you do. Neither is a fault as such; both are levers if the balance is ever revisited.</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instead of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next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Each persona is a tilt, not a cage. They all deliberately point at doing more of one industry, and the entry bonus deliberately points the other way, so a persona changes your best line without collapsing it to one.</w:t>
      </w: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These are kept switchable so the two versions can be played side by side, not because the older ones are balanced against the new. Turning all five on plays v12 almost exactly.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Hubs on plots is a genuine constriction: a quarter of the plots on the board have no orthogonal neighbour at all, so a badly placed hub connects nobody. That is the rule working as intended - it is why the hub picker tells you how many plots a spot would connect before you commit to it - but it is also the rule most likely to need another look after a few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v16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v16</dc:title>
  <dc:creator>Entrepreneurs</dc:creator>
  <dc:description>Designer's edition - includes the notes</dc:description>
  <cp:lastModifiedBy>Un-named</cp:lastModifiedBy>
  <cp:revision>1</cp:revision>
  <dcterms:created xsi:type="dcterms:W3CDTF">2026-08-26T02:06:00.035Z</dcterms:created>
  <dcterms:modified xsi:type="dcterms:W3CDTF">2026-08-26T02:06:00.035Z</dcterms:modified>
</cp:coreProperties>
</file>

<file path=docProps/custom.xml><?xml version="1.0" encoding="utf-8"?>
<Properties xmlns="http://schemas.openxmlformats.org/officeDocument/2006/custom-properties" xmlns:vt="http://schemas.openxmlformats.org/officeDocument/2006/docPropsVTypes"/>
</file>