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4A3AB5"/>
          <w:spacing w:val="60"/>
          <w:sz w:val="52"/>
          <w:szCs w:val="52"/>
        </w:rPr>
        <w:t xml:space="preserve">ENTREPRENEURS</w:t>
      </w:r>
    </w:p>
    <w:p>
      <w:pPr>
        <w:spacing w:after="60" w:line="264"/>
      </w:pPr>
      <w:r>
        <w:rPr>
          <w:rFonts w:ascii="Calibri" w:cs="Calibri" w:eastAsia="Calibri" w:hAnsi="Calibri"/>
          <w:i/>
          <w:iCs/>
          <w:color w:val="6B6B78"/>
          <w:sz w:val="24"/>
          <w:szCs w:val="24"/>
        </w:rPr>
        <w:t xml:space="preserve">No company stands alone.</w:t>
      </w:r>
    </w:p>
    <w:p>
      <w:pPr>
        <w:spacing w:after="180" w:line="264"/>
      </w:pPr>
      <w:r>
        <w:rPr>
          <w:rFonts w:ascii="Calibri" w:cs="Calibri" w:eastAsia="Calibri" w:hAnsi="Calibri"/>
          <w:color w:val="6B6B78"/>
          <w:sz w:val="18"/>
          <w:szCs w:val="18"/>
        </w:rPr>
        <w:t xml:space="preserve">Buy land  ·  Build industry  ·  Supply your rivals  ·  Corner the market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2016"/>
        <w:gridCol w:w="2016"/>
        <w:gridCol w:w="2016"/>
        <w:gridCol w:w="2016"/>
      </w:tblGrid>
      <w:tr>
        <w:trPr>
          <w:tblHeader/>
        </w:trPr>
        <w:tc>
          <w:tcPr>
            <w:tcW w:type="dxa" w:w="2016"/>
            <w:tcBorders>
              <w:top w:val="single" w:color="D8D4E2" w:sz="4"/>
              <w:left w:val="none"/>
              <w:bottom w:val="single" w:color="D8D4E2" w:sz="4"/>
              <w:right w:val="none"/>
            </w:tcBorders>
            <w:shd w:fill="F1EFF7" w:color="auto" w:val="clear"/>
            <w:tcMar>
              <w:top w:type="dxa" w:w="70"/>
              <w:left w:type="dxa" w:w="110"/>
              <w:bottom w:type="dxa" w:w="70"/>
              <w:right w:type="dxa" w:w="110"/>
            </w:tcMar>
          </w:tcPr>
          <w:p>
            <w:pPr>
              <w:spacing w:after="0" w:line="264"/>
            </w:pPr>
            <w:r>
              <w:rPr>
                <w:rFonts w:ascii="Calibri" w:cs="Calibri" w:eastAsia="Calibri" w:hAnsi="Calibri"/>
                <w:b/>
                <w:bCs/>
                <w:color w:val="6B6B78"/>
                <w:sz w:val="16"/>
                <w:szCs w:val="16"/>
              </w:rPr>
              <w:t xml:space="preserve">PLAYERS</w:t>
            </w:r>
          </w:p>
        </w:tc>
        <w:tc>
          <w:tcPr>
            <w:tcW w:type="dxa" w:w="2016"/>
            <w:tcBorders>
              <w:top w:val="single" w:color="D8D4E2" w:sz="4"/>
              <w:left w:val="none"/>
              <w:bottom w:val="single" w:color="D8D4E2" w:sz="4"/>
              <w:right w:val="none"/>
            </w:tcBorders>
            <w:shd w:fill="F1EFF7" w:color="auto" w:val="clear"/>
            <w:tcMar>
              <w:top w:type="dxa" w:w="70"/>
              <w:left w:type="dxa" w:w="110"/>
              <w:bottom w:type="dxa" w:w="70"/>
              <w:right w:type="dxa" w:w="110"/>
            </w:tcMar>
          </w:tcPr>
          <w:p>
            <w:pPr>
              <w:spacing w:after="0" w:line="264"/>
            </w:pPr>
            <w:r>
              <w:rPr>
                <w:rFonts w:ascii="Calibri" w:cs="Calibri" w:eastAsia="Calibri" w:hAnsi="Calibri"/>
                <w:b/>
                <w:bCs/>
                <w:color w:val="6B6B78"/>
                <w:sz w:val="16"/>
                <w:szCs w:val="16"/>
              </w:rPr>
              <w:t xml:space="preserve">PLAY TIME</w:t>
            </w:r>
          </w:p>
        </w:tc>
        <w:tc>
          <w:tcPr>
            <w:tcW w:type="dxa" w:w="2016"/>
            <w:tcBorders>
              <w:top w:val="single" w:color="D8D4E2" w:sz="4"/>
              <w:left w:val="none"/>
              <w:bottom w:val="single" w:color="D8D4E2" w:sz="4"/>
              <w:right w:val="none"/>
            </w:tcBorders>
            <w:shd w:fill="F1EFF7" w:color="auto" w:val="clear"/>
            <w:tcMar>
              <w:top w:type="dxa" w:w="70"/>
              <w:left w:type="dxa" w:w="110"/>
              <w:bottom w:type="dxa" w:w="70"/>
              <w:right w:type="dxa" w:w="110"/>
            </w:tcMar>
          </w:tcPr>
          <w:p>
            <w:pPr>
              <w:spacing w:after="0" w:line="264"/>
            </w:pPr>
            <w:r>
              <w:rPr>
                <w:rFonts w:ascii="Calibri" w:cs="Calibri" w:eastAsia="Calibri" w:hAnsi="Calibri"/>
                <w:b/>
                <w:bCs/>
                <w:color w:val="6B6B78"/>
                <w:sz w:val="16"/>
                <w:szCs w:val="16"/>
              </w:rPr>
              <w:t xml:space="preserve">AGE</w:t>
            </w:r>
          </w:p>
        </w:tc>
        <w:tc>
          <w:tcPr>
            <w:tcW w:type="dxa" w:w="2016"/>
            <w:tcBorders>
              <w:top w:val="single" w:color="D8D4E2" w:sz="4"/>
              <w:left w:val="none"/>
              <w:bottom w:val="single" w:color="D8D4E2" w:sz="4"/>
              <w:right w:val="none"/>
            </w:tcBorders>
            <w:shd w:fill="F1EFF7" w:color="auto" w:val="clear"/>
            <w:tcMar>
              <w:top w:type="dxa" w:w="70"/>
              <w:left w:type="dxa" w:w="110"/>
              <w:bottom w:type="dxa" w:w="70"/>
              <w:right w:type="dxa" w:w="110"/>
            </w:tcMar>
          </w:tcPr>
          <w:p>
            <w:pPr>
              <w:spacing w:after="0" w:line="264"/>
            </w:pPr>
            <w:r>
              <w:rPr>
                <w:rFonts w:ascii="Calibri" w:cs="Calibri" w:eastAsia="Calibri" w:hAnsi="Calibri"/>
                <w:b/>
                <w:bCs/>
                <w:color w:val="6B6B78"/>
                <w:sz w:val="16"/>
                <w:szCs w:val="16"/>
              </w:rPr>
              <w:t xml:space="preserve">WEIGHT</w:t>
            </w:r>
          </w:p>
        </w:tc>
        <w:tc>
          <w:tcPr>
            <w:tcW w:type="dxa" w:w="2016"/>
            <w:tcBorders>
              <w:top w:val="single" w:color="D8D4E2" w:sz="4"/>
              <w:left w:val="none"/>
              <w:bottom w:val="single" w:color="D8D4E2" w:sz="4"/>
              <w:right w:val="none"/>
            </w:tcBorders>
            <w:shd w:fill="F1EFF7" w:color="auto" w:val="clear"/>
            <w:tcMar>
              <w:top w:type="dxa" w:w="70"/>
              <w:left w:type="dxa" w:w="110"/>
              <w:bottom w:type="dxa" w:w="70"/>
              <w:right w:type="dxa" w:w="110"/>
            </w:tcMar>
          </w:tcPr>
          <w:p>
            <w:pPr>
              <w:spacing w:after="0" w:line="264"/>
            </w:pPr>
            <w:r>
              <w:rPr>
                <w:rFonts w:ascii="Calibri" w:cs="Calibri" w:eastAsia="Calibri" w:hAnsi="Calibri"/>
                <w:b/>
                <w:bCs/>
                <w:color w:val="6B6B78"/>
                <w:sz w:val="16"/>
                <w:szCs w:val="16"/>
              </w:rPr>
              <w:t xml:space="preserve">CATEGORY</w:t>
            </w:r>
          </w:p>
        </w:tc>
      </w:tr>
      <w:tr>
        <w:tc>
          <w:tcPr>
            <w:tcW w:type="dxa" w:w="2016"/>
            <w:tcBorders>
              <w:top w:val="single" w:color="D8D4E2" w:sz="4"/>
              <w:left w:val="none"/>
              <w:bottom w:val="single" w:color="D8D4E2" w:sz="4"/>
              <w:right w:val="none"/>
            </w:tcBorders>
            <w:tcMar>
              <w:top w:type="dxa" w:w="70"/>
              <w:left w:type="dxa" w:w="110"/>
              <w:bottom w:type="dxa" w:w="70"/>
              <w:right w:type="dxa" w:w="110"/>
            </w:tcMar>
          </w:tcPr>
          <w:p>
            <w:pPr>
              <w:spacing w:after="0" w:line="264"/>
            </w:pPr>
            <w:r>
              <w:rPr>
                <w:rFonts w:ascii="Calibri" w:cs="Calibri" w:eastAsia="Calibri" w:hAnsi="Calibri"/>
                <w:b/>
                <w:bCs/>
                <w:color w:val="1A1A1A"/>
                <w:sz w:val="19"/>
                <w:szCs w:val="19"/>
              </w:rPr>
              <w:t xml:space="preserve">2 – 6</w:t>
            </w:r>
          </w:p>
        </w:tc>
        <w:tc>
          <w:tcPr>
            <w:tcW w:type="dxa" w:w="2016"/>
            <w:tcBorders>
              <w:top w:val="single" w:color="D8D4E2" w:sz="4"/>
              <w:left w:val="none"/>
              <w:bottom w:val="single" w:color="D8D4E2" w:sz="4"/>
              <w:right w:val="none"/>
            </w:tcBorders>
            <w:tcMar>
              <w:top w:type="dxa" w:w="70"/>
              <w:left w:type="dxa" w:w="110"/>
              <w:bottom w:type="dxa" w:w="70"/>
              <w:right w:type="dxa" w:w="110"/>
            </w:tcMar>
          </w:tcPr>
          <w:p>
            <w:pPr>
              <w:spacing w:after="0" w:line="264"/>
            </w:pPr>
            <w:r>
              <w:rPr>
                <w:rFonts w:ascii="Calibri" w:cs="Calibri" w:eastAsia="Calibri" w:hAnsi="Calibri"/>
                <w:b/>
                <w:bCs/>
                <w:color w:val="1A1A1A"/>
                <w:sz w:val="19"/>
                <w:szCs w:val="19"/>
              </w:rPr>
              <w:t xml:space="preserve">120 – 180 min</w:t>
            </w:r>
          </w:p>
        </w:tc>
        <w:tc>
          <w:tcPr>
            <w:tcW w:type="dxa" w:w="2016"/>
            <w:tcBorders>
              <w:top w:val="single" w:color="D8D4E2" w:sz="4"/>
              <w:left w:val="none"/>
              <w:bottom w:val="single" w:color="D8D4E2" w:sz="4"/>
              <w:right w:val="none"/>
            </w:tcBorders>
            <w:tcMar>
              <w:top w:type="dxa" w:w="70"/>
              <w:left w:type="dxa" w:w="110"/>
              <w:bottom w:type="dxa" w:w="70"/>
              <w:right w:type="dxa" w:w="110"/>
            </w:tcMar>
          </w:tcPr>
          <w:p>
            <w:pPr>
              <w:spacing w:after="0" w:line="264"/>
            </w:pPr>
            <w:r>
              <w:rPr>
                <w:rFonts w:ascii="Calibri" w:cs="Calibri" w:eastAsia="Calibri" w:hAnsi="Calibri"/>
                <w:b/>
                <w:bCs/>
                <w:color w:val="1A1A1A"/>
                <w:sz w:val="19"/>
                <w:szCs w:val="19"/>
              </w:rPr>
              <w:t xml:space="preserve">14+</w:t>
            </w:r>
          </w:p>
        </w:tc>
        <w:tc>
          <w:tcPr>
            <w:tcW w:type="dxa" w:w="2016"/>
            <w:tcBorders>
              <w:top w:val="single" w:color="D8D4E2" w:sz="4"/>
              <w:left w:val="none"/>
              <w:bottom w:val="single" w:color="D8D4E2" w:sz="4"/>
              <w:right w:val="none"/>
            </w:tcBorders>
            <w:tcMar>
              <w:top w:type="dxa" w:w="70"/>
              <w:left w:type="dxa" w:w="110"/>
              <w:bottom w:type="dxa" w:w="70"/>
              <w:right w:type="dxa" w:w="110"/>
            </w:tcMar>
          </w:tcPr>
          <w:p>
            <w:pPr>
              <w:spacing w:after="0" w:line="264"/>
            </w:pPr>
            <w:r>
              <w:rPr>
                <w:rFonts w:ascii="Calibri" w:cs="Calibri" w:eastAsia="Calibri" w:hAnsi="Calibri"/>
                <w:b/>
                <w:bCs/>
                <w:color w:val="1A1A1A"/>
                <w:sz w:val="19"/>
                <w:szCs w:val="19"/>
              </w:rPr>
              <w:t xml:space="preserve">Heavy</w:t>
            </w:r>
          </w:p>
        </w:tc>
        <w:tc>
          <w:tcPr>
            <w:tcW w:type="dxa" w:w="2016"/>
            <w:tcBorders>
              <w:top w:val="single" w:color="D8D4E2" w:sz="4"/>
              <w:left w:val="none"/>
              <w:bottom w:val="single" w:color="D8D4E2" w:sz="4"/>
              <w:right w:val="none"/>
            </w:tcBorders>
            <w:tcMar>
              <w:top w:type="dxa" w:w="70"/>
              <w:left w:type="dxa" w:w="110"/>
              <w:bottom w:type="dxa" w:w="70"/>
              <w:right w:type="dxa" w:w="110"/>
            </w:tcMar>
          </w:tcPr>
          <w:p>
            <w:pPr>
              <w:spacing w:after="0" w:line="264"/>
            </w:pPr>
            <w:r>
              <w:rPr>
                <w:rFonts w:ascii="Calibri" w:cs="Calibri" w:eastAsia="Calibri" w:hAnsi="Calibri"/>
                <w:b/>
                <w:bCs/>
                <w:color w:val="1A1A1A"/>
                <w:sz w:val="19"/>
                <w:szCs w:val="19"/>
              </w:rPr>
              <w:t xml:space="preserve">Economic Euro</w:t>
            </w:r>
          </w:p>
        </w:tc>
      </w:tr>
    </w:tbl>
    <w:p>
      <w:pPr>
        <w:spacing w:after="160"/>
      </w:pPr>
    </w:p>
    <w:p>
      <w:pPr>
        <w:pBdr>
          <w:bottom w:val="single" w:color="D8D4E2" w:sz="6" w:space="4"/>
        </w:pBdr>
        <w:spacing w:after="110" w:before="60"/>
      </w:pPr>
      <w:r>
        <w:rPr>
          <w:rFonts w:ascii="Calibri" w:cs="Calibri" w:eastAsia="Calibri" w:hAnsi="Calibri"/>
          <w:b/>
          <w:bCs/>
          <w:color w:val="4A3AB5"/>
          <w:spacing w:val="30"/>
          <w:sz w:val="20"/>
          <w:szCs w:val="20"/>
        </w:rPr>
        <w:t xml:space="preserve">THE PITCH</w:t>
      </w:r>
    </w:p>
    <w:p>
      <w:pPr>
        <w:spacing w:after="100" w:line="264"/>
      </w:pPr>
      <w:r>
        <w:rPr>
          <w:rFonts w:ascii="Calibri" w:cs="Calibri" w:eastAsia="Calibri" w:hAnsi="Calibri"/>
          <w:color w:val="1A1A1A"/>
          <w:sz w:val="19"/>
          <w:szCs w:val="19"/>
        </w:rPr>
        <w:t xml:space="preserve">A city rises one business at a time — and no business stands alone. Every company you found is supplied by three others, and every dollar of operating cost you pay flows straight into those industries' pots, to be split among whoever owns them. Your rivals' costs are your income, and yours are theirs.</w:t>
      </w:r>
    </w:p>
    <w:p>
      <w:pPr>
        <w:spacing w:after="100" w:line="264"/>
      </w:pPr>
      <w:r>
        <w:rPr>
          <w:rFonts w:ascii="Calibri" w:cs="Calibri" w:eastAsia="Calibri" w:hAnsi="Calibri"/>
          <w:color w:val="1A1A1A"/>
          <w:sz w:val="19"/>
          <w:szCs w:val="19"/>
        </w:rPr>
        <w:t xml:space="preserve">Build where everyone is building and your price sinks toward a dollar. Build what everyone depends on and nobody supplies, and its pot climbs quarter after quarter — untouched, because a pot is split only among companies in that industry, and there are none. Whoever builds there first collects all of it.</w:t>
      </w:r>
    </w:p>
    <w:p>
      <w:pPr>
        <w:spacing w:after="100" w:line="264"/>
      </w:pPr>
      <w:r>
        <w:rPr>
          <w:rFonts w:ascii="Calibri" w:cs="Calibri" w:eastAsia="Calibri" w:hAnsi="Calibri"/>
          <w:color w:val="1A1A1A"/>
          <w:sz w:val="19"/>
          <w:szCs w:val="19"/>
        </w:rPr>
        <w:t xml:space="preserve">And you must buy the land before you can build on it. Sell that land later to raise cash and your own factory stops producing until somebody buys the ground back — which anybody may do, and then you are the tenant, paying them rent every quarter to stand on what used to be yours.</w:t>
      </w:r>
    </w:p>
    <w:p>
      <w:pPr>
        <w:pBdr>
          <w:bottom w:val="single" w:color="D8D4E2" w:sz="6" w:space="4"/>
        </w:pBdr>
        <w:spacing w:after="110" w:before="220"/>
      </w:pPr>
      <w:r>
        <w:rPr>
          <w:rFonts w:ascii="Calibri" w:cs="Calibri" w:eastAsia="Calibri" w:hAnsi="Calibri"/>
          <w:b/>
          <w:bCs/>
          <w:color w:val="4A3AB5"/>
          <w:spacing w:val="30"/>
          <w:sz w:val="20"/>
          <w:szCs w:val="20"/>
        </w:rPr>
        <w:t xml:space="preserve">WHY IT STANDS OUT</w:t>
      </w:r>
    </w:p>
    <w:p>
      <w:pPr>
        <w:spacing w:after="100" w:line="264"/>
      </w:pPr>
      <w:r>
        <w:rPr>
          <w:rFonts w:ascii="Calibri" w:cs="Calibri" w:eastAsia="Calibri" w:hAnsi="Calibri"/>
          <w:b/>
          <w:bCs/>
          <w:color w:val="1A1A1A"/>
          <w:sz w:val="19"/>
          <w:szCs w:val="19"/>
        </w:rPr>
        <w:t xml:space="preserve">A supply chain that closes perfectly. </w:t>
      </w:r>
      <w:r>
        <w:rPr>
          <w:rFonts w:ascii="Calibri" w:cs="Calibri" w:eastAsia="Calibri" w:hAnsi="Calibri"/>
          <w:color w:val="1A1A1A"/>
          <w:sz w:val="19"/>
          <w:szCs w:val="19"/>
        </w:rPr>
        <w:t xml:space="preserve">Six industries, eighteen supply relationships. Every industry draws on exactly three others and feeds exactly three in return — none over-connected, none stranded. Take each industry's largest supplier and you get a single unbroken ring through all six: Utilities to Hospitality to Manufacturing to Healthcare to Retail to Technology, and back to Utilities.</w:t>
      </w:r>
    </w:p>
    <w:p>
      <w:pPr>
        <w:spacing w:after="100" w:line="264"/>
      </w:pPr>
      <w:r>
        <w:rPr>
          <w:rFonts w:ascii="Calibri" w:cs="Calibri" w:eastAsia="Calibri" w:hAnsi="Calibri"/>
          <w:b/>
          <w:bCs/>
          <w:color w:val="1A1A1A"/>
          <w:sz w:val="19"/>
          <w:szCs w:val="19"/>
        </w:rPr>
        <w:t xml:space="preserve">Costs that become someone else's revenue. </w:t>
      </w:r>
      <w:r>
        <w:rPr>
          <w:rFonts w:ascii="Calibri" w:cs="Calibri" w:eastAsia="Calibri" w:hAnsi="Calibri"/>
          <w:color w:val="1A1A1A"/>
          <w:sz w:val="19"/>
          <w:szCs w:val="19"/>
        </w:rPr>
        <w:t xml:space="preserve">Operating expense is never a sink. It pays rent to whoever owns your land, then fills the pots of your supplier industries. One new company pushes its own price down once and up to three others' prices up. Overbuilding your sector is self-defeating; feeding it is lucrative.</w:t>
      </w:r>
    </w:p>
    <w:p>
      <w:pPr>
        <w:spacing w:after="100" w:line="264"/>
      </w:pPr>
      <w:r>
        <w:rPr>
          <w:rFonts w:ascii="Calibri" w:cs="Calibri" w:eastAsia="Calibri" w:hAnsi="Calibri"/>
          <w:b/>
          <w:bCs/>
          <w:color w:val="1A1A1A"/>
          <w:sz w:val="19"/>
          <w:szCs w:val="19"/>
        </w:rPr>
        <w:t xml:space="preserve">Worker placement that punishes hesitation — and rewards it. </w:t>
      </w:r>
      <w:r>
        <w:rPr>
          <w:rFonts w:ascii="Calibri" w:cs="Calibri" w:eastAsia="Calibri" w:hAnsi="Calibri"/>
          <w:color w:val="1A1A1A"/>
          <w:sz w:val="19"/>
          <w:szCs w:val="19"/>
        </w:rPr>
        <w:t xml:space="preserve">Tracks fill left to right and resolve right to left. Commit early and you gain an extra action for every player who lands after you, but all of them act first, and may take exactly what you were waiting for.</w:t>
      </w:r>
    </w:p>
    <w:p>
      <w:pPr>
        <w:spacing w:after="100" w:line="264"/>
      </w:pPr>
      <w:r>
        <w:rPr>
          <w:rFonts w:ascii="Calibri" w:cs="Calibri" w:eastAsia="Calibri" w:hAnsi="Calibri"/>
          <w:b/>
          <w:bCs/>
          <w:color w:val="1A1A1A"/>
          <w:sz w:val="19"/>
          <w:szCs w:val="19"/>
        </w:rPr>
        <w:t xml:space="preserve">Land that pays whether or not you build on it. </w:t>
      </w:r>
      <w:r>
        <w:rPr>
          <w:rFonts w:ascii="Calibri" w:cs="Calibri" w:eastAsia="Calibri" w:hAnsi="Calibri"/>
          <w:color w:val="1A1A1A"/>
          <w:sz w:val="19"/>
          <w:szCs w:val="19"/>
        </w:rPr>
        <w:t xml:space="preserve">You buy a plot before you build, and plots appreciate as the neighbours fill in. But a company only needs its ground owned by SOMEBODY — not by its owner — so land changes hands under standing buildings, and $2 a level a quarter goes to whoever holds the deed. By six players half the plots a person owns carry somebody else's factory, and only a quarter of a company's ground belongs to the company.</w:t>
      </w:r>
    </w:p>
    <w:p>
      <w:pPr>
        <w:spacing w:after="100" w:line="264"/>
      </w:pPr>
      <w:r>
        <w:rPr>
          <w:rFonts w:ascii="Calibri" w:cs="Calibri" w:eastAsia="Calibri" w:hAnsi="Calibri"/>
          <w:b/>
          <w:bCs/>
          <w:color w:val="1A1A1A"/>
          <w:sz w:val="19"/>
          <w:szCs w:val="19"/>
        </w:rPr>
        <w:t xml:space="preserve">Twelve discs, one footprint. </w:t>
      </w:r>
      <w:r>
        <w:rPr>
          <w:rFonts w:ascii="Calibri" w:cs="Calibri" w:eastAsia="Calibri" w:hAnsi="Calibri"/>
          <w:color w:val="1A1A1A"/>
          <w:sz w:val="19"/>
          <w:szCs w:val="19"/>
        </w:rPr>
        <w:t xml:space="preserve">Plots owned, companies run and loans outstanding all draw on the same twelve markers. Every loan you take shrinks how much city you can hold — credit line, capacity limit and endgame penalty in a single component.</w:t>
      </w:r>
    </w:p>
    <w:p>
      <w:pPr>
        <w:spacing w:after="100" w:line="264"/>
      </w:pPr>
      <w:r>
        <w:rPr>
          <w:rFonts w:ascii="Calibri" w:cs="Calibri" w:eastAsia="Calibri" w:hAnsi="Calibri"/>
          <w:b/>
          <w:bCs/>
          <w:color w:val="1A1A1A"/>
          <w:sz w:val="19"/>
          <w:szCs w:val="19"/>
        </w:rPr>
        <w:t xml:space="preserve">Megacorps in four tiers. </w:t>
      </w:r>
      <w:r>
        <w:rPr>
          <w:rFonts w:ascii="Calibri" w:cs="Calibri" w:eastAsia="Calibri" w:hAnsi="Calibri"/>
          <w:color w:val="1A1A1A"/>
          <w:sz w:val="19"/>
          <w:szCs w:val="19"/>
        </w:rPr>
        <w:t xml:space="preserve">Sixteen merger tiles, four tiers of four, and two are drawn from every tier that is in play — four tiles at two players, six at three, eight from four upward. The hardest tiers only come out at a bigger table, and a headquarters earns its industry's price divided by its tier, so a cheap merger of three level-1 companies no longer pays what an Omnicorp pays.</w:t>
      </w:r>
    </w:p>
    <w:p>
      <w:pPr>
        <w:spacing w:after="100" w:line="264"/>
      </w:pPr>
      <w:r>
        <w:rPr>
          <w:rFonts w:ascii="Calibri" w:cs="Calibri" w:eastAsia="Calibri" w:hAnsi="Calibri"/>
          <w:b/>
          <w:bCs/>
          <w:color w:val="1A1A1A"/>
          <w:sz w:val="19"/>
          <w:szCs w:val="19"/>
        </w:rPr>
        <w:t xml:space="preserve">A marathon with a door that can close. </w:t>
      </w:r>
      <w:r>
        <w:rPr>
          <w:rFonts w:ascii="Calibri" w:cs="Calibri" w:eastAsia="Calibri" w:hAnsi="Calibri"/>
          <w:color w:val="1A1A1A"/>
          <w:sz w:val="19"/>
          <w:szCs w:val="19"/>
        </w:rPr>
        <w:t xml:space="preserve">Three fiscal years, or less: forming a second Megacorp does not end the game, it CALLS the final quarter — everyone gets one more full round to answer it. Each headquarters permanently locks a company slot, so the ending is bought with capacity, announced before it lands, and never a certain win.</w:t>
      </w:r>
    </w:p>
    <w:p>
      <w:pPr>
        <w:pBdr>
          <w:bottom w:val="single" w:color="D8D4E2" w:sz="6" w:space="4"/>
        </w:pBdr>
        <w:spacing w:after="110" w:before="220"/>
      </w:pPr>
      <w:r>
        <w:rPr>
          <w:rFonts w:ascii="Calibri" w:cs="Calibri" w:eastAsia="Calibri" w:hAnsi="Calibri"/>
          <w:b/>
          <w:bCs/>
          <w:color w:val="4A3AB5"/>
          <w:spacing w:val="30"/>
          <w:sz w:val="20"/>
          <w:szCs w:val="20"/>
        </w:rPr>
        <w:t xml:space="preserve">DEVELOPMENT STATUS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846"/>
        <w:gridCol w:w="4234"/>
      </w:tblGrid>
      <w:tr>
        <w:tc>
          <w:tcPr>
            <w:tcW w:type="dxa" w:w="5846"/>
            <w:tcBorders>
              <w:top w:val="none"/>
              <w:left w:val="none"/>
              <w:bottom w:val="none"/>
              <w:right w:val="none"/>
            </w:tcBorders>
            <w:tcMar>
              <w:top w:type="dxa" w:w="40"/>
              <w:left w:type="dxa" w:w="0"/>
              <w:bottom w:type="dxa" w:w="40"/>
              <w:right w:type="dxa" w:w="160"/>
            </w:tcMar>
          </w:tcPr>
          <w:p>
            <w:pPr>
              <w:spacing w:after="50" w:line="264"/>
            </w:pPr>
            <w:r>
              <w:rPr>
                <w:rFonts w:ascii="Calibri" w:cs="Calibri" w:eastAsia="Calibri" w:hAnsi="Calibri"/>
                <w:color w:val="1A1A1A"/>
                <w:sz w:val="18"/>
                <w:szCs w:val="18"/>
              </w:rPr>
              <w:t xml:space="preserve">Rules complete — full rulebook v16</w:t>
            </w:r>
          </w:p>
          <w:p>
            <w:pPr>
              <w:spacing w:after="50" w:line="264"/>
            </w:pPr>
            <w:r>
              <w:rPr>
                <w:rFonts w:ascii="Calibri" w:cs="Calibri" w:eastAsia="Calibri" w:hAnsi="Calibri"/>
                <w:color w:val="1A1A1A"/>
                <w:sz w:val="18"/>
                <w:szCs w:val="18"/>
              </w:rPr>
              <w:t xml:space="preserve">Physical prototype built and played</w:t>
            </w:r>
          </w:p>
          <w:p>
            <w:pPr>
              <w:spacing w:after="50" w:line="264"/>
            </w:pPr>
            <w:r>
              <w:rPr>
                <w:rFonts w:ascii="Calibri" w:cs="Calibri" w:eastAsia="Calibri" w:hAnsi="Calibri"/>
                <w:color w:val="1A1A1A"/>
                <w:sz w:val="18"/>
                <w:szCs w:val="18"/>
              </w:rPr>
              <w:t xml:space="preserve">Playable digital build, solo vs. AI and online</w:t>
            </w:r>
          </w:p>
          <w:p>
            <w:pPr>
              <w:spacing w:after="50" w:line="264"/>
            </w:pPr>
            <w:r>
              <w:rPr>
                <w:rFonts w:ascii="Calibri" w:cs="Calibri" w:eastAsia="Calibri" w:hAnsi="Calibri"/>
                <w:color w:val="1A1A1A"/>
                <w:sz w:val="18"/>
                <w:szCs w:val="18"/>
              </w:rPr>
              <w:t xml:space="preserve">Tuned against a simulation harness — 30+ audits in repo</w:t>
            </w:r>
          </w:p>
          <w:p>
            <w:pPr>
              <w:spacing w:after="0" w:line="264"/>
            </w:pPr>
            <w:r>
              <w:rPr>
                <w:rFonts w:ascii="Calibri" w:cs="Calibri" w:eastAsia="Calibri" w:hAnsi="Calibri"/>
                <w:color w:val="1A1A1A"/>
                <w:sz w:val="18"/>
                <w:szCs w:val="18"/>
              </w:rPr>
              <w:t xml:space="preserve">Art is functional placeholder — open to your direction</w:t>
            </w:r>
          </w:p>
        </w:tc>
        <w:tc>
          <w:tcPr>
            <w:tcW w:type="dxa" w:w="4234"/>
            <w:tcBorders>
              <w:top w:val="none"/>
              <w:left w:val="none"/>
              <w:bottom w:val="none"/>
              <w:right w:val="none"/>
            </w:tcBorders>
            <w:tcMar>
              <w:top w:type="dxa" w:w="40"/>
              <w:left w:type="dxa" w:w="160"/>
              <w:bottom w:type="dxa" w:w="40"/>
              <w:right w:type="dxa" w:w="0"/>
            </w:tcMar>
          </w:tcPr>
          <w:p>
            <w:pPr>
              <w:spacing w:after="50" w:line="264"/>
            </w:pPr>
            <w:r>
              <w:rPr>
                <w:rFonts w:ascii="Calibri" w:cs="Calibri" w:eastAsia="Calibri" w:hAnsi="Calibri"/>
                <w:b/>
                <w:bCs/>
                <w:color w:val="6B6B78"/>
                <w:sz w:val="16"/>
                <w:szCs w:val="16"/>
              </w:rPr>
              <w:t xml:space="preserve">CONTACT</w:t>
            </w:r>
          </w:p>
          <w:p>
            <w:pPr>
              <w:spacing w:after="40" w:line="264"/>
            </w:pPr>
            <w:r>
              <w:rPr>
                <w:rFonts w:ascii="Calibri" w:cs="Calibri" w:eastAsia="Calibri" w:hAnsi="Calibri"/>
                <w:color w:val="1A1A1A"/>
                <w:sz w:val="18"/>
                <w:szCs w:val="18"/>
              </w:rPr>
              <w:t xml:space="preserve">Designer:  [Your name]</w:t>
            </w:r>
          </w:p>
          <w:p>
            <w:pPr>
              <w:spacing w:after="40" w:line="264"/>
            </w:pPr>
            <w:r>
              <w:rPr>
                <w:rFonts w:ascii="Calibri" w:cs="Calibri" w:eastAsia="Calibri" w:hAnsi="Calibri"/>
                <w:color w:val="1A1A1A"/>
                <w:sz w:val="18"/>
                <w:szCs w:val="18"/>
              </w:rPr>
              <w:t xml:space="preserve">Email:  [your@email]</w:t>
            </w:r>
          </w:p>
          <w:p>
            <w:pPr>
              <w:spacing w:after="40" w:line="264"/>
            </w:pPr>
            <w:r>
              <w:rPr>
                <w:rFonts w:ascii="Calibri" w:cs="Calibri" w:eastAsia="Calibri" w:hAnsi="Calibri"/>
                <w:color w:val="1A1A1A"/>
                <w:sz w:val="18"/>
                <w:szCs w:val="18"/>
              </w:rPr>
              <w:t xml:space="preserve">Location:  [City, Country]</w:t>
            </w:r>
          </w:p>
          <w:p>
            <w:pPr>
              <w:spacing w:after="0" w:line="264"/>
            </w:pPr>
            <w:r>
              <w:rPr>
                <w:rFonts w:ascii="Calibri" w:cs="Calibri" w:eastAsia="Calibri" w:hAnsi="Calibri"/>
                <w:color w:val="1A1A1A"/>
                <w:sz w:val="18"/>
                <w:szCs w:val="18"/>
              </w:rPr>
              <w:t xml:space="preserve">Web / BGG:  [link]</w:t>
            </w:r>
          </w:p>
        </w:tc>
      </w:tr>
    </w:tbl>
    <w:p>
      <w:pPr>
        <w:spacing w:after="120"/>
      </w:pPr>
    </w:p>
    <w:p>
      <w:pPr>
        <w:spacing w:after="100" w:line="264"/>
      </w:pPr>
      <w:r>
        <w:rPr>
          <w:rFonts w:ascii="Calibri" w:cs="Calibri" w:eastAsia="Calibri" w:hAnsi="Calibri"/>
          <w:i/>
          <w:iCs/>
          <w:color w:val="6B6B78"/>
          <w:sz w:val="18"/>
          <w:szCs w:val="18"/>
        </w:rPr>
        <w:t xml:space="preserve">Seeking a publisher for a heavy economic euro built on a genuine interdependence engine — rules-complete and digitally playable today, and glad to develop further with your team, including trimming length or complexity for a particular line. Rulebook, component tables, prototype, digital build and the full audit history are available on request.</w:t>
      </w:r>
    </w:p>
    <w:p>
      <w:pPr>
        <w:pageBreakBefore/>
        <w:spacing w:after="40"/>
      </w:pPr>
      <w:r>
        <w:rPr>
          <w:rFonts w:ascii="Calibri" w:cs="Calibri" w:eastAsia="Calibri" w:hAnsi="Calibri"/>
          <w:b/>
          <w:bCs/>
          <w:color w:val="4A3AB5"/>
          <w:spacing w:val="40"/>
          <w:sz w:val="34"/>
          <w:szCs w:val="34"/>
        </w:rPr>
        <w:t xml:space="preserve">ENTREPRENEURS</w:t>
      </w:r>
    </w:p>
    <w:p>
      <w:pPr>
        <w:spacing w:after="160" w:line="264"/>
      </w:pPr>
      <w:r>
        <w:rPr>
          <w:rFonts w:ascii="Calibri" w:cs="Calibri" w:eastAsia="Calibri" w:hAnsi="Calibri"/>
          <w:i/>
          <w:iCs/>
          <w:color w:val="6B6B78"/>
          <w:sz w:val="19"/>
          <w:szCs w:val="19"/>
        </w:rPr>
        <w:t xml:space="preserve">Supplementary detail for publishers</w:t>
      </w:r>
    </w:p>
    <w:p>
      <w:pPr>
        <w:pBdr>
          <w:bottom w:val="single" w:color="D8D4E2" w:sz="6" w:space="4"/>
        </w:pBdr>
        <w:spacing w:after="110" w:before="60"/>
      </w:pPr>
      <w:r>
        <w:rPr>
          <w:rFonts w:ascii="Calibri" w:cs="Calibri" w:eastAsia="Calibri" w:hAnsi="Calibri"/>
          <w:b/>
          <w:bCs/>
          <w:color w:val="4A3AB5"/>
          <w:spacing w:val="30"/>
          <w:sz w:val="20"/>
          <w:szCs w:val="20"/>
        </w:rPr>
        <w:t xml:space="preserve">HOW A QUARTER PLAYS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8180"/>
      </w:tblGrid>
      <w:tr>
        <w:tc>
          <w:tcPr>
            <w:tcW w:type="dxa" w:w="1900"/>
            <w:tcBorders>
              <w:top w:val="single" w:color="D8D4E2" w:sz="4"/>
              <w:left w:val="none"/>
              <w:bottom w:val="single" w:color="D8D4E2" w:sz="4"/>
              <w:right w:val="none"/>
            </w:tcBorders>
            <w:tcMar>
              <w:top w:type="dxa" w:w="70"/>
              <w:left w:type="dxa" w:w="110"/>
              <w:bottom w:type="dxa" w:w="70"/>
              <w:right w:type="dxa" w:w="110"/>
            </w:tcMar>
          </w:tcPr>
          <w:p>
            <w:pPr>
              <w:spacing w:after="0" w:line="264"/>
            </w:pPr>
            <w:r>
              <w:rPr>
                <w:rFonts w:ascii="Calibri" w:cs="Calibri" w:eastAsia="Calibri" w:hAnsi="Calibri"/>
                <w:b/>
                <w:bCs/>
                <w:color w:val="1A1A1A"/>
                <w:sz w:val="18"/>
                <w:szCs w:val="18"/>
              </w:rPr>
              <w:t xml:space="preserve">1. Planning</w:t>
            </w:r>
          </w:p>
        </w:tc>
        <w:tc>
          <w:tcPr>
            <w:tcW w:type="dxa" w:w="8180"/>
            <w:tcBorders>
              <w:top w:val="single" w:color="D8D4E2" w:sz="4"/>
              <w:left w:val="none"/>
              <w:bottom w:val="single" w:color="D8D4E2" w:sz="4"/>
              <w:right w:val="none"/>
            </w:tcBorders>
            <w:tcMar>
              <w:top w:type="dxa" w:w="70"/>
              <w:left w:type="dxa" w:w="110"/>
              <w:bottom w:type="dxa" w:w="70"/>
              <w:right w:type="dxa" w:w="110"/>
            </w:tcMar>
          </w:tcPr>
          <w:p>
            <w:pPr>
              <w:spacing w:after="0" w:line="264"/>
            </w:pPr>
            <w:r>
              <w:rPr>
                <w:rFonts w:ascii="Calibri" w:cs="Calibri" w:eastAsia="Calibri" w:hAnsi="Calibri"/>
                <w:color w:val="1A1A1A"/>
                <w:sz w:val="18"/>
                <w:szCs w:val="18"/>
              </w:rPr>
              <w:t xml:space="preserve">Place two workers (three in a two-player game) across four action tracks.</w:t>
            </w:r>
          </w:p>
        </w:tc>
      </w:tr>
      <w:tr>
        <w:tc>
          <w:tcPr>
            <w:tcW w:type="dxa" w:w="1900"/>
            <w:tcBorders>
              <w:top w:val="single" w:color="D8D4E2" w:sz="4"/>
              <w:left w:val="none"/>
              <w:bottom w:val="single" w:color="D8D4E2" w:sz="4"/>
              <w:right w:val="none"/>
            </w:tcBorders>
            <w:tcMar>
              <w:top w:type="dxa" w:w="70"/>
              <w:left w:type="dxa" w:w="110"/>
              <w:bottom w:type="dxa" w:w="70"/>
              <w:right w:type="dxa" w:w="110"/>
            </w:tcMar>
          </w:tcPr>
          <w:p>
            <w:pPr>
              <w:spacing w:after="0" w:line="264"/>
            </w:pPr>
            <w:r>
              <w:rPr>
                <w:rFonts w:ascii="Calibri" w:cs="Calibri" w:eastAsia="Calibri" w:hAnsi="Calibri"/>
                <w:b/>
                <w:bCs/>
                <w:color w:val="1A1A1A"/>
                <w:sz w:val="18"/>
                <w:szCs w:val="18"/>
              </w:rPr>
              <w:t xml:space="preserve">2. Action</w:t>
            </w:r>
          </w:p>
        </w:tc>
        <w:tc>
          <w:tcPr>
            <w:tcW w:type="dxa" w:w="8180"/>
            <w:tcBorders>
              <w:top w:val="single" w:color="D8D4E2" w:sz="4"/>
              <w:left w:val="none"/>
              <w:bottom w:val="single" w:color="D8D4E2" w:sz="4"/>
              <w:right w:val="none"/>
            </w:tcBorders>
            <w:tcMar>
              <w:top w:type="dxa" w:w="70"/>
              <w:left w:type="dxa" w:w="110"/>
              <w:bottom w:type="dxa" w:w="70"/>
              <w:right w:type="dxa" w:w="110"/>
            </w:tcMar>
          </w:tcPr>
          <w:p>
            <w:pPr>
              <w:spacing w:after="0" w:line="264"/>
            </w:pPr>
            <w:r>
              <w:rPr>
                <w:rFonts w:ascii="Calibri" w:cs="Calibri" w:eastAsia="Calibri" w:hAnsi="Calibri"/>
                <w:color w:val="1A1A1A"/>
                <w:sz w:val="18"/>
                <w:szCs w:val="18"/>
              </w:rPr>
              <w:t xml:space="preserve">Tracks resolve right to left: Raise Capital, M&amp;A, R&amp;D, Board Meeting.</w:t>
            </w:r>
          </w:p>
        </w:tc>
      </w:tr>
      <w:tr>
        <w:tc>
          <w:tcPr>
            <w:tcW w:type="dxa" w:w="1900"/>
            <w:tcBorders>
              <w:top w:val="single" w:color="D8D4E2" w:sz="4"/>
              <w:left w:val="none"/>
              <w:bottom w:val="single" w:color="D8D4E2" w:sz="4"/>
              <w:right w:val="none"/>
            </w:tcBorders>
            <w:tcMar>
              <w:top w:type="dxa" w:w="70"/>
              <w:left w:type="dxa" w:w="110"/>
              <w:bottom w:type="dxa" w:w="70"/>
              <w:right w:type="dxa" w:w="110"/>
            </w:tcMar>
          </w:tcPr>
          <w:p>
            <w:pPr>
              <w:spacing w:after="0" w:line="264"/>
            </w:pPr>
            <w:r>
              <w:rPr>
                <w:rFonts w:ascii="Calibri" w:cs="Calibri" w:eastAsia="Calibri" w:hAnsi="Calibri"/>
                <w:b/>
                <w:bCs/>
                <w:color w:val="1A1A1A"/>
                <w:sz w:val="18"/>
                <w:szCs w:val="18"/>
              </w:rPr>
              <w:t xml:space="preserve">3. Production</w:t>
            </w:r>
          </w:p>
        </w:tc>
        <w:tc>
          <w:tcPr>
            <w:tcW w:type="dxa" w:w="8180"/>
            <w:tcBorders>
              <w:top w:val="single" w:color="D8D4E2" w:sz="4"/>
              <w:left w:val="none"/>
              <w:bottom w:val="single" w:color="D8D4E2" w:sz="4"/>
              <w:right w:val="none"/>
            </w:tcBorders>
            <w:tcMar>
              <w:top w:type="dxa" w:w="70"/>
              <w:left w:type="dxa" w:w="110"/>
              <w:bottom w:type="dxa" w:w="70"/>
              <w:right w:type="dxa" w:w="110"/>
            </w:tcMar>
          </w:tcPr>
          <w:p>
            <w:pPr>
              <w:spacing w:after="0" w:line="264"/>
            </w:pPr>
            <w:r>
              <w:rPr>
                <w:rFonts w:ascii="Calibri" w:cs="Calibri" w:eastAsia="Calibri" w:hAnsi="Calibri"/>
                <w:color w:val="1A1A1A"/>
                <w:sz w:val="18"/>
                <w:szCs w:val="18"/>
              </w:rPr>
              <w:t xml:space="preserve">Every company pays OPEX; rent to the landowner, the remainder into supplier pots.</w:t>
            </w:r>
          </w:p>
        </w:tc>
      </w:tr>
      <w:tr>
        <w:tc>
          <w:tcPr>
            <w:tcW w:type="dxa" w:w="1900"/>
            <w:tcBorders>
              <w:top w:val="single" w:color="D8D4E2" w:sz="4"/>
              <w:left w:val="none"/>
              <w:bottom w:val="single" w:color="D8D4E2" w:sz="4"/>
              <w:right w:val="none"/>
            </w:tcBorders>
            <w:tcMar>
              <w:top w:type="dxa" w:w="70"/>
              <w:left w:type="dxa" w:w="110"/>
              <w:bottom w:type="dxa" w:w="70"/>
              <w:right w:type="dxa" w:w="110"/>
            </w:tcMar>
          </w:tcPr>
          <w:p>
            <w:pPr>
              <w:spacing w:after="0" w:line="264"/>
            </w:pPr>
            <w:r>
              <w:rPr>
                <w:rFonts w:ascii="Calibri" w:cs="Calibri" w:eastAsia="Calibri" w:hAnsi="Calibri"/>
                <w:b/>
                <w:bCs/>
                <w:color w:val="1A1A1A"/>
                <w:sz w:val="18"/>
                <w:szCs w:val="18"/>
              </w:rPr>
              <w:t xml:space="preserve">4. Revenue</w:t>
            </w:r>
          </w:p>
        </w:tc>
        <w:tc>
          <w:tcPr>
            <w:tcW w:type="dxa" w:w="8180"/>
            <w:tcBorders>
              <w:top w:val="single" w:color="D8D4E2" w:sz="4"/>
              <w:left w:val="none"/>
              <w:bottom w:val="single" w:color="D8D4E2" w:sz="4"/>
              <w:right w:val="none"/>
            </w:tcBorders>
            <w:tcMar>
              <w:top w:type="dxa" w:w="70"/>
              <w:left w:type="dxa" w:w="110"/>
              <w:bottom w:type="dxa" w:w="70"/>
              <w:right w:type="dxa" w:w="110"/>
            </w:tcMar>
          </w:tcPr>
          <w:p>
            <w:pPr>
              <w:spacing w:after="0" w:line="264"/>
            </w:pPr>
            <w:r>
              <w:rPr>
                <w:rFonts w:ascii="Calibri" w:cs="Calibri" w:eastAsia="Calibri" w:hAnsi="Calibri"/>
                <w:color w:val="1A1A1A"/>
                <w:sz w:val="18"/>
                <w:szCs w:val="18"/>
              </w:rPr>
              <w:t xml:space="preserve">Sell into the city's demand grid (B2C), then split each industry pot (B2B).</w:t>
            </w:r>
          </w:p>
        </w:tc>
      </w:tr>
      <w:tr>
        <w:tc>
          <w:tcPr>
            <w:tcW w:type="dxa" w:w="1900"/>
            <w:tcBorders>
              <w:top w:val="single" w:color="D8D4E2" w:sz="4"/>
              <w:left w:val="none"/>
              <w:bottom w:val="single" w:color="D8D4E2" w:sz="4"/>
              <w:right w:val="none"/>
            </w:tcBorders>
            <w:tcMar>
              <w:top w:type="dxa" w:w="70"/>
              <w:left w:type="dxa" w:w="110"/>
              <w:bottom w:type="dxa" w:w="70"/>
              <w:right w:type="dxa" w:w="110"/>
            </w:tcMar>
          </w:tcPr>
          <w:p>
            <w:pPr>
              <w:spacing w:after="0" w:line="264"/>
            </w:pPr>
            <w:r>
              <w:rPr>
                <w:rFonts w:ascii="Calibri" w:cs="Calibri" w:eastAsia="Calibri" w:hAnsi="Calibri"/>
                <w:b/>
                <w:bCs/>
                <w:color w:val="1A1A1A"/>
                <w:sz w:val="18"/>
                <w:szCs w:val="18"/>
              </w:rPr>
              <w:t xml:space="preserve">5. Closing</w:t>
            </w:r>
          </w:p>
        </w:tc>
        <w:tc>
          <w:tcPr>
            <w:tcW w:type="dxa" w:w="8180"/>
            <w:tcBorders>
              <w:top w:val="single" w:color="D8D4E2" w:sz="4"/>
              <w:left w:val="none"/>
              <w:bottom w:val="single" w:color="D8D4E2" w:sz="4"/>
              <w:right w:val="none"/>
            </w:tcBorders>
            <w:tcMar>
              <w:top w:type="dxa" w:w="70"/>
              <w:left w:type="dxa" w:w="110"/>
              <w:bottom w:type="dxa" w:w="70"/>
              <w:right w:type="dxa" w:w="110"/>
            </w:tcMar>
          </w:tcPr>
          <w:p>
            <w:pPr>
              <w:spacing w:after="0" w:line="264"/>
            </w:pPr>
            <w:r>
              <w:rPr>
                <w:rFonts w:ascii="Calibri" w:cs="Calibri" w:eastAsia="Calibri" w:hAnsi="Calibri"/>
                <w:color w:val="1A1A1A"/>
                <w:sz w:val="18"/>
                <w:szCs w:val="18"/>
              </w:rPr>
              <w:t xml:space="preserve">The lead player sites a new Logistic Hub. Years end with land awards and loan repayment.</w:t>
            </w:r>
          </w:p>
        </w:tc>
      </w:tr>
    </w:tbl>
    <w:p>
      <w:pPr>
        <w:spacing w:after="140"/>
      </w:pPr>
    </w:p>
    <w:p>
      <w:pPr>
        <w:spacing w:after="100" w:line="264"/>
      </w:pPr>
      <w:r>
        <w:rPr>
          <w:rFonts w:ascii="Calibri" w:cs="Calibri" w:eastAsia="Calibri" w:hAnsi="Calibri"/>
          <w:i/>
          <w:iCs/>
          <w:color w:val="6B6B78"/>
          <w:sz w:val="17"/>
          <w:szCs w:val="17"/>
        </w:rPr>
        <w:t xml:space="preserve">The three working tracks carry four slots at two, three or four players; a fifth player opens a fifth slot on each and a sixth player a sixth. Board Meeting stays at two seats at every count.</w:t>
      </w:r>
    </w:p>
    <w:p>
      <w:pPr>
        <w:pBdr>
          <w:bottom w:val="single" w:color="D8D4E2" w:sz="6" w:space="4"/>
        </w:pBdr>
        <w:spacing w:after="110" w:before="220"/>
      </w:pPr>
      <w:r>
        <w:rPr>
          <w:rFonts w:ascii="Calibri" w:cs="Calibri" w:eastAsia="Calibri" w:hAnsi="Calibri"/>
          <w:b/>
          <w:bCs/>
          <w:color w:val="4A3AB5"/>
          <w:spacing w:val="30"/>
          <w:sz w:val="20"/>
          <w:szCs w:val="20"/>
        </w:rPr>
        <w:t xml:space="preserve">THE SIX INDUSTRIES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00"/>
        <w:gridCol w:w="1500"/>
        <w:gridCol w:w="900"/>
        <w:gridCol w:w="5580"/>
      </w:tblGrid>
      <w:tr>
        <w:trPr>
          <w:tblHeader/>
        </w:trPr>
        <w:tc>
          <w:tcPr>
            <w:tcW w:type="dxa" w:w="2100"/>
            <w:tcBorders>
              <w:top w:val="single" w:color="D8D4E2" w:sz="4"/>
              <w:left w:val="none"/>
              <w:bottom w:val="single" w:color="D8D4E2" w:sz="4"/>
              <w:right w:val="none"/>
            </w:tcBorders>
            <w:shd w:fill="F1EFF7" w:color="auto" w:val="clear"/>
            <w:tcMar>
              <w:top w:type="dxa" w:w="70"/>
              <w:left w:type="dxa" w:w="110"/>
              <w:bottom w:type="dxa" w:w="70"/>
              <w:right w:type="dxa" w:w="110"/>
            </w:tcMar>
          </w:tcPr>
          <w:p>
            <w:pPr>
              <w:spacing w:after="0" w:line="264"/>
            </w:pPr>
            <w:r>
              <w:rPr>
                <w:rFonts w:ascii="Calibri" w:cs="Calibri" w:eastAsia="Calibri" w:hAnsi="Calibri"/>
                <w:b/>
                <w:bCs/>
                <w:color w:val="6B6B78"/>
                <w:sz w:val="16"/>
                <w:szCs w:val="16"/>
              </w:rPr>
              <w:t xml:space="preserve">Industry</w:t>
            </w:r>
          </w:p>
        </w:tc>
        <w:tc>
          <w:tcPr>
            <w:tcW w:type="dxa" w:w="1500"/>
            <w:tcBorders>
              <w:top w:val="single" w:color="D8D4E2" w:sz="4"/>
              <w:left w:val="none"/>
              <w:bottom w:val="single" w:color="D8D4E2" w:sz="4"/>
              <w:right w:val="none"/>
            </w:tcBorders>
            <w:shd w:fill="F1EFF7" w:color="auto" w:val="clear"/>
            <w:tcMar>
              <w:top w:type="dxa" w:w="70"/>
              <w:left w:type="dxa" w:w="110"/>
              <w:bottom w:type="dxa" w:w="70"/>
              <w:right w:type="dxa" w:w="110"/>
            </w:tcMar>
          </w:tcPr>
          <w:p>
            <w:pPr>
              <w:spacing w:after="0" w:line="264"/>
            </w:pPr>
            <w:r>
              <w:rPr>
                <w:rFonts w:ascii="Calibri" w:cs="Calibri" w:eastAsia="Calibri" w:hAnsi="Calibri"/>
                <w:b/>
                <w:bCs/>
                <w:color w:val="6B6B78"/>
                <w:sz w:val="16"/>
                <w:szCs w:val="16"/>
              </w:rPr>
              <w:t xml:space="preserve">Scaling</w:t>
            </w:r>
          </w:p>
        </w:tc>
        <w:tc>
          <w:tcPr>
            <w:tcW w:type="dxa" w:w="900"/>
            <w:tcBorders>
              <w:top w:val="single" w:color="D8D4E2" w:sz="4"/>
              <w:left w:val="none"/>
              <w:bottom w:val="single" w:color="D8D4E2" w:sz="4"/>
              <w:right w:val="none"/>
            </w:tcBorders>
            <w:shd w:fill="F1EFF7" w:color="auto" w:val="clear"/>
            <w:tcMar>
              <w:top w:type="dxa" w:w="70"/>
              <w:left w:type="dxa" w:w="110"/>
              <w:bottom w:type="dxa" w:w="70"/>
              <w:right w:type="dxa" w:w="110"/>
            </w:tcMar>
          </w:tcPr>
          <w:p>
            <w:pPr>
              <w:spacing w:after="0" w:line="264"/>
            </w:pPr>
            <w:r>
              <w:rPr>
                <w:rFonts w:ascii="Calibri" w:cs="Calibri" w:eastAsia="Calibri" w:hAnsi="Calibri"/>
                <w:b/>
                <w:bCs/>
                <w:color w:val="6B6B78"/>
                <w:sz w:val="16"/>
                <w:szCs w:val="16"/>
              </w:rPr>
              <w:t xml:space="preserve">Price</w:t>
            </w:r>
          </w:p>
        </w:tc>
        <w:tc>
          <w:tcPr>
            <w:tcW w:type="dxa" w:w="5580"/>
            <w:tcBorders>
              <w:top w:val="single" w:color="D8D4E2" w:sz="4"/>
              <w:left w:val="none"/>
              <w:bottom w:val="single" w:color="D8D4E2" w:sz="4"/>
              <w:right w:val="none"/>
            </w:tcBorders>
            <w:shd w:fill="F1EFF7" w:color="auto" w:val="clear"/>
            <w:tcMar>
              <w:top w:type="dxa" w:w="70"/>
              <w:left w:type="dxa" w:w="110"/>
              <w:bottom w:type="dxa" w:w="70"/>
              <w:right w:type="dxa" w:w="110"/>
            </w:tcMar>
          </w:tcPr>
          <w:p>
            <w:pPr>
              <w:spacing w:after="0" w:line="264"/>
            </w:pPr>
            <w:r>
              <w:rPr>
                <w:rFonts w:ascii="Calibri" w:cs="Calibri" w:eastAsia="Calibri" w:hAnsi="Calibri"/>
                <w:b/>
                <w:bCs/>
                <w:color w:val="6B6B78"/>
                <w:sz w:val="16"/>
                <w:szCs w:val="16"/>
              </w:rPr>
              <w:t xml:space="preserve">Signature ability</w:t>
            </w:r>
          </w:p>
        </w:tc>
      </w:tr>
      <w:tr>
        <w:tc>
          <w:tcPr>
            <w:tcW w:type="dxa" w:w="2100"/>
            <w:tcBorders>
              <w:top w:val="single" w:color="D8D4E2" w:sz="4"/>
              <w:left w:val="none"/>
              <w:bottom w:val="single" w:color="D8D4E2" w:sz="4"/>
              <w:right w:val="none"/>
            </w:tcBorders>
            <w:tcMar>
              <w:top w:type="dxa" w:w="70"/>
              <w:left w:type="dxa" w:w="110"/>
              <w:bottom w:type="dxa" w:w="70"/>
              <w:right w:type="dxa" w:w="110"/>
            </w:tcMar>
          </w:tcPr>
          <w:p>
            <w:pPr>
              <w:spacing w:after="0" w:line="264"/>
            </w:pPr>
            <w:r>
              <w:rPr>
                <w:rFonts w:ascii="Calibri" w:cs="Calibri" w:eastAsia="Calibri" w:hAnsi="Calibri"/>
                <w:b/>
                <w:bCs/>
                <w:color w:val="B8860B"/>
                <w:sz w:val="17"/>
                <w:szCs w:val="17"/>
              </w:rPr>
              <w:t xml:space="preserve">Utilities</w:t>
            </w:r>
          </w:p>
        </w:tc>
        <w:tc>
          <w:tcPr>
            <w:tcW w:type="dxa" w:w="1500"/>
            <w:tcBorders>
              <w:top w:val="single" w:color="D8D4E2" w:sz="4"/>
              <w:left w:val="none"/>
              <w:bottom w:val="single" w:color="D8D4E2" w:sz="4"/>
              <w:right w:val="none"/>
            </w:tcBorders>
            <w:tcMar>
              <w:top w:type="dxa" w:w="70"/>
              <w:left w:type="dxa" w:w="110"/>
              <w:bottom w:type="dxa" w:w="70"/>
              <w:right w:type="dxa" w:w="110"/>
            </w:tcMar>
          </w:tcPr>
          <w:p>
            <w:pPr>
              <w:spacing w:after="0" w:line="264"/>
            </w:pPr>
            <w:r>
              <w:rPr>
                <w:rFonts w:ascii="Calibri" w:cs="Calibri" w:eastAsia="Calibri" w:hAnsi="Calibri"/>
                <w:color w:val="1A1A1A"/>
                <w:sz w:val="17"/>
                <w:szCs w:val="17"/>
              </w:rPr>
              <w:t xml:space="preserve">Horizontal</w:t>
            </w:r>
          </w:p>
        </w:tc>
        <w:tc>
          <w:tcPr>
            <w:tcW w:type="dxa" w:w="900"/>
            <w:tcBorders>
              <w:top w:val="single" w:color="D8D4E2" w:sz="4"/>
              <w:left w:val="none"/>
              <w:bottom w:val="single" w:color="D8D4E2" w:sz="4"/>
              <w:right w:val="none"/>
            </w:tcBorders>
            <w:tcMar>
              <w:top w:type="dxa" w:w="70"/>
              <w:left w:type="dxa" w:w="110"/>
              <w:bottom w:type="dxa" w:w="70"/>
              <w:right w:type="dxa" w:w="110"/>
            </w:tcMar>
          </w:tcPr>
          <w:p>
            <w:pPr>
              <w:spacing w:after="0" w:line="264"/>
            </w:pPr>
            <w:r>
              <w:rPr>
                <w:rFonts w:ascii="Calibri" w:cs="Calibri" w:eastAsia="Calibri" w:hAnsi="Calibri"/>
                <w:color w:val="1A1A1A"/>
                <w:sz w:val="17"/>
                <w:szCs w:val="17"/>
              </w:rPr>
              <w:t xml:space="preserve">$2</w:t>
            </w:r>
          </w:p>
        </w:tc>
        <w:tc>
          <w:tcPr>
            <w:tcW w:type="dxa" w:w="5580"/>
            <w:tcBorders>
              <w:top w:val="single" w:color="D8D4E2" w:sz="4"/>
              <w:left w:val="none"/>
              <w:bottom w:val="single" w:color="D8D4E2" w:sz="4"/>
              <w:right w:val="none"/>
            </w:tcBorders>
            <w:tcMar>
              <w:top w:type="dxa" w:w="70"/>
              <w:left w:type="dxa" w:w="110"/>
              <w:bottom w:type="dxa" w:w="70"/>
              <w:right w:type="dxa" w:w="110"/>
            </w:tcMar>
          </w:tcPr>
          <w:p>
            <w:pPr>
              <w:spacing w:after="0" w:line="264"/>
            </w:pPr>
            <w:r>
              <w:rPr>
                <w:rFonts w:ascii="Calibri" w:cs="Calibri" w:eastAsia="Calibri" w:hAnsi="Calibri"/>
                <w:color w:val="1A1A1A"/>
                <w:sz w:val="17"/>
                <w:szCs w:val="17"/>
              </w:rPr>
              <w:t xml:space="preserve">Reads demand across a block of districts as wide as its level. No hubs.</w:t>
            </w:r>
          </w:p>
        </w:tc>
      </w:tr>
      <w:tr>
        <w:tc>
          <w:tcPr>
            <w:tcW w:type="dxa" w:w="2100"/>
            <w:tcBorders>
              <w:top w:val="single" w:color="D8D4E2" w:sz="4"/>
              <w:left w:val="none"/>
              <w:bottom w:val="single" w:color="D8D4E2" w:sz="4"/>
              <w:right w:val="none"/>
            </w:tcBorders>
            <w:tcMar>
              <w:top w:type="dxa" w:w="70"/>
              <w:left w:type="dxa" w:w="110"/>
              <w:bottom w:type="dxa" w:w="70"/>
              <w:right w:type="dxa" w:w="110"/>
            </w:tcMar>
          </w:tcPr>
          <w:p>
            <w:pPr>
              <w:spacing w:after="0" w:line="264"/>
            </w:pPr>
            <w:r>
              <w:rPr>
                <w:rFonts w:ascii="Calibri" w:cs="Calibri" w:eastAsia="Calibri" w:hAnsi="Calibri"/>
                <w:b/>
                <w:bCs/>
                <w:color w:val="2E7D4F"/>
                <w:sz w:val="17"/>
                <w:szCs w:val="17"/>
              </w:rPr>
              <w:t xml:space="preserve">Retail</w:t>
            </w:r>
          </w:p>
        </w:tc>
        <w:tc>
          <w:tcPr>
            <w:tcW w:type="dxa" w:w="1500"/>
            <w:tcBorders>
              <w:top w:val="single" w:color="D8D4E2" w:sz="4"/>
              <w:left w:val="none"/>
              <w:bottom w:val="single" w:color="D8D4E2" w:sz="4"/>
              <w:right w:val="none"/>
            </w:tcBorders>
            <w:tcMar>
              <w:top w:type="dxa" w:w="70"/>
              <w:left w:type="dxa" w:w="110"/>
              <w:bottom w:type="dxa" w:w="70"/>
              <w:right w:type="dxa" w:w="110"/>
            </w:tcMar>
          </w:tcPr>
          <w:p>
            <w:pPr>
              <w:spacing w:after="0" w:line="264"/>
            </w:pPr>
            <w:r>
              <w:rPr>
                <w:rFonts w:ascii="Calibri" w:cs="Calibri" w:eastAsia="Calibri" w:hAnsi="Calibri"/>
                <w:color w:val="1A1A1A"/>
                <w:sz w:val="17"/>
                <w:szCs w:val="17"/>
              </w:rPr>
              <w:t xml:space="preserve">Vertical</w:t>
            </w:r>
          </w:p>
        </w:tc>
        <w:tc>
          <w:tcPr>
            <w:tcW w:type="dxa" w:w="900"/>
            <w:tcBorders>
              <w:top w:val="single" w:color="D8D4E2" w:sz="4"/>
              <w:left w:val="none"/>
              <w:bottom w:val="single" w:color="D8D4E2" w:sz="4"/>
              <w:right w:val="none"/>
            </w:tcBorders>
            <w:tcMar>
              <w:top w:type="dxa" w:w="70"/>
              <w:left w:type="dxa" w:w="110"/>
              <w:bottom w:type="dxa" w:w="70"/>
              <w:right w:type="dxa" w:w="110"/>
            </w:tcMar>
          </w:tcPr>
          <w:p>
            <w:pPr>
              <w:spacing w:after="0" w:line="264"/>
            </w:pPr>
            <w:r>
              <w:rPr>
                <w:rFonts w:ascii="Calibri" w:cs="Calibri" w:eastAsia="Calibri" w:hAnsi="Calibri"/>
                <w:color w:val="1A1A1A"/>
                <w:sz w:val="17"/>
                <w:szCs w:val="17"/>
              </w:rPr>
              <w:t xml:space="preserve">$2</w:t>
            </w:r>
          </w:p>
        </w:tc>
        <w:tc>
          <w:tcPr>
            <w:tcW w:type="dxa" w:w="5580"/>
            <w:tcBorders>
              <w:top w:val="single" w:color="D8D4E2" w:sz="4"/>
              <w:left w:val="none"/>
              <w:bottom w:val="single" w:color="D8D4E2" w:sz="4"/>
              <w:right w:val="none"/>
            </w:tcBorders>
            <w:tcMar>
              <w:top w:type="dxa" w:w="70"/>
              <w:left w:type="dxa" w:w="110"/>
              <w:bottom w:type="dxa" w:w="70"/>
              <w:right w:type="dxa" w:w="110"/>
            </w:tcMar>
          </w:tcPr>
          <w:p>
            <w:pPr>
              <w:spacing w:after="0" w:line="264"/>
            </w:pPr>
            <w:r>
              <w:rPr>
                <w:rFonts w:ascii="Calibri" w:cs="Calibri" w:eastAsia="Calibri" w:hAnsi="Calibri"/>
                <w:color w:val="1A1A1A"/>
                <w:sz w:val="17"/>
                <w:szCs w:val="17"/>
              </w:rPr>
              <w:t xml:space="preserve">Sells into one extra district per level, owner's choice. No hubs.</w:t>
            </w:r>
          </w:p>
        </w:tc>
      </w:tr>
      <w:tr>
        <w:tc>
          <w:tcPr>
            <w:tcW w:type="dxa" w:w="2100"/>
            <w:tcBorders>
              <w:top w:val="single" w:color="D8D4E2" w:sz="4"/>
              <w:left w:val="none"/>
              <w:bottom w:val="single" w:color="D8D4E2" w:sz="4"/>
              <w:right w:val="none"/>
            </w:tcBorders>
            <w:tcMar>
              <w:top w:type="dxa" w:w="70"/>
              <w:left w:type="dxa" w:w="110"/>
              <w:bottom w:type="dxa" w:w="70"/>
              <w:right w:type="dxa" w:w="110"/>
            </w:tcMar>
          </w:tcPr>
          <w:p>
            <w:pPr>
              <w:spacing w:after="0" w:line="264"/>
            </w:pPr>
            <w:r>
              <w:rPr>
                <w:rFonts w:ascii="Calibri" w:cs="Calibri" w:eastAsia="Calibri" w:hAnsi="Calibri"/>
                <w:b/>
                <w:bCs/>
                <w:color w:val="B54A3A"/>
                <w:sz w:val="17"/>
                <w:szCs w:val="17"/>
              </w:rPr>
              <w:t xml:space="preserve">Hospitality</w:t>
            </w:r>
          </w:p>
        </w:tc>
        <w:tc>
          <w:tcPr>
            <w:tcW w:type="dxa" w:w="1500"/>
            <w:tcBorders>
              <w:top w:val="single" w:color="D8D4E2" w:sz="4"/>
              <w:left w:val="none"/>
              <w:bottom w:val="single" w:color="D8D4E2" w:sz="4"/>
              <w:right w:val="none"/>
            </w:tcBorders>
            <w:tcMar>
              <w:top w:type="dxa" w:w="70"/>
              <w:left w:type="dxa" w:w="110"/>
              <w:bottom w:type="dxa" w:w="70"/>
              <w:right w:type="dxa" w:w="110"/>
            </w:tcMar>
          </w:tcPr>
          <w:p>
            <w:pPr>
              <w:spacing w:after="0" w:line="264"/>
            </w:pPr>
            <w:r>
              <w:rPr>
                <w:rFonts w:ascii="Calibri" w:cs="Calibri" w:eastAsia="Calibri" w:hAnsi="Calibri"/>
                <w:color w:val="1A1A1A"/>
                <w:sz w:val="17"/>
                <w:szCs w:val="17"/>
              </w:rPr>
              <w:t xml:space="preserve">Vertical</w:t>
            </w:r>
          </w:p>
        </w:tc>
        <w:tc>
          <w:tcPr>
            <w:tcW w:type="dxa" w:w="900"/>
            <w:tcBorders>
              <w:top w:val="single" w:color="D8D4E2" w:sz="4"/>
              <w:left w:val="none"/>
              <w:bottom w:val="single" w:color="D8D4E2" w:sz="4"/>
              <w:right w:val="none"/>
            </w:tcBorders>
            <w:tcMar>
              <w:top w:type="dxa" w:w="70"/>
              <w:left w:type="dxa" w:w="110"/>
              <w:bottom w:type="dxa" w:w="70"/>
              <w:right w:type="dxa" w:w="110"/>
            </w:tcMar>
          </w:tcPr>
          <w:p>
            <w:pPr>
              <w:spacing w:after="0" w:line="264"/>
            </w:pPr>
            <w:r>
              <w:rPr>
                <w:rFonts w:ascii="Calibri" w:cs="Calibri" w:eastAsia="Calibri" w:hAnsi="Calibri"/>
                <w:color w:val="1A1A1A"/>
                <w:sz w:val="17"/>
                <w:szCs w:val="17"/>
              </w:rPr>
              <w:t xml:space="preserve">$3</w:t>
            </w:r>
          </w:p>
        </w:tc>
        <w:tc>
          <w:tcPr>
            <w:tcW w:type="dxa" w:w="5580"/>
            <w:tcBorders>
              <w:top w:val="single" w:color="D8D4E2" w:sz="4"/>
              <w:left w:val="none"/>
              <w:bottom w:val="single" w:color="D8D4E2" w:sz="4"/>
              <w:right w:val="none"/>
            </w:tcBorders>
            <w:tcMar>
              <w:top w:type="dxa" w:w="70"/>
              <w:left w:type="dxa" w:w="110"/>
              <w:bottom w:type="dxa" w:w="70"/>
              <w:right w:type="dxa" w:w="110"/>
            </w:tcMar>
          </w:tcPr>
          <w:p>
            <w:pPr>
              <w:spacing w:after="0" w:line="264"/>
            </w:pPr>
            <w:r>
              <w:rPr>
                <w:rFonts w:ascii="Calibri" w:cs="Calibri" w:eastAsia="Calibri" w:hAnsi="Calibri"/>
                <w:color w:val="1A1A1A"/>
                <w:sz w:val="17"/>
                <w:szCs w:val="17"/>
              </w:rPr>
              <w:t xml:space="preserve">One extra unit per adjacent business or hub, per level. Thrives in density.</w:t>
            </w:r>
          </w:p>
        </w:tc>
      </w:tr>
      <w:tr>
        <w:tc>
          <w:tcPr>
            <w:tcW w:type="dxa" w:w="2100"/>
            <w:tcBorders>
              <w:top w:val="single" w:color="D8D4E2" w:sz="4"/>
              <w:left w:val="none"/>
              <w:bottom w:val="single" w:color="D8D4E2" w:sz="4"/>
              <w:right w:val="none"/>
            </w:tcBorders>
            <w:tcMar>
              <w:top w:type="dxa" w:w="70"/>
              <w:left w:type="dxa" w:w="110"/>
              <w:bottom w:type="dxa" w:w="70"/>
              <w:right w:type="dxa" w:w="110"/>
            </w:tcMar>
          </w:tcPr>
          <w:p>
            <w:pPr>
              <w:spacing w:after="0" w:line="264"/>
            </w:pPr>
            <w:r>
              <w:rPr>
                <w:rFonts w:ascii="Calibri" w:cs="Calibri" w:eastAsia="Calibri" w:hAnsi="Calibri"/>
                <w:b/>
                <w:bCs/>
                <w:color w:val="6B4FA8"/>
                <w:sz w:val="17"/>
                <w:szCs w:val="17"/>
              </w:rPr>
              <w:t xml:space="preserve">Manufacturing</w:t>
            </w:r>
          </w:p>
        </w:tc>
        <w:tc>
          <w:tcPr>
            <w:tcW w:type="dxa" w:w="1500"/>
            <w:tcBorders>
              <w:top w:val="single" w:color="D8D4E2" w:sz="4"/>
              <w:left w:val="none"/>
              <w:bottom w:val="single" w:color="D8D4E2" w:sz="4"/>
              <w:right w:val="none"/>
            </w:tcBorders>
            <w:tcMar>
              <w:top w:type="dxa" w:w="70"/>
              <w:left w:type="dxa" w:w="110"/>
              <w:bottom w:type="dxa" w:w="70"/>
              <w:right w:type="dxa" w:w="110"/>
            </w:tcMar>
          </w:tcPr>
          <w:p>
            <w:pPr>
              <w:spacing w:after="0" w:line="264"/>
            </w:pPr>
            <w:r>
              <w:rPr>
                <w:rFonts w:ascii="Calibri" w:cs="Calibri" w:eastAsia="Calibri" w:hAnsi="Calibri"/>
                <w:color w:val="1A1A1A"/>
                <w:sz w:val="17"/>
                <w:szCs w:val="17"/>
              </w:rPr>
              <w:t xml:space="preserve">Horizontal</w:t>
            </w:r>
          </w:p>
        </w:tc>
        <w:tc>
          <w:tcPr>
            <w:tcW w:type="dxa" w:w="900"/>
            <w:tcBorders>
              <w:top w:val="single" w:color="D8D4E2" w:sz="4"/>
              <w:left w:val="none"/>
              <w:bottom w:val="single" w:color="D8D4E2" w:sz="4"/>
              <w:right w:val="none"/>
            </w:tcBorders>
            <w:tcMar>
              <w:top w:type="dxa" w:w="70"/>
              <w:left w:type="dxa" w:w="110"/>
              <w:bottom w:type="dxa" w:w="70"/>
              <w:right w:type="dxa" w:w="110"/>
            </w:tcMar>
          </w:tcPr>
          <w:p>
            <w:pPr>
              <w:spacing w:after="0" w:line="264"/>
            </w:pPr>
            <w:r>
              <w:rPr>
                <w:rFonts w:ascii="Calibri" w:cs="Calibri" w:eastAsia="Calibri" w:hAnsi="Calibri"/>
                <w:color w:val="1A1A1A"/>
                <w:sz w:val="17"/>
                <w:szCs w:val="17"/>
              </w:rPr>
              <w:t xml:space="preserve">$3</w:t>
            </w:r>
          </w:p>
        </w:tc>
        <w:tc>
          <w:tcPr>
            <w:tcW w:type="dxa" w:w="5580"/>
            <w:tcBorders>
              <w:top w:val="single" w:color="D8D4E2" w:sz="4"/>
              <w:left w:val="none"/>
              <w:bottom w:val="single" w:color="D8D4E2" w:sz="4"/>
              <w:right w:val="none"/>
            </w:tcBorders>
            <w:tcMar>
              <w:top w:type="dxa" w:w="70"/>
              <w:left w:type="dxa" w:w="110"/>
              <w:bottom w:type="dxa" w:w="70"/>
              <w:right w:type="dxa" w:w="110"/>
            </w:tcMar>
          </w:tcPr>
          <w:p>
            <w:pPr>
              <w:spacing w:after="0" w:line="264"/>
            </w:pPr>
            <w:r>
              <w:rPr>
                <w:rFonts w:ascii="Calibri" w:cs="Calibri" w:eastAsia="Calibri" w:hAnsi="Calibri"/>
                <w:color w:val="1A1A1A"/>
                <w:sz w:val="17"/>
                <w:szCs w:val="17"/>
              </w:rPr>
              <w:t xml:space="preserve">The only industry that can fill another industry's demand row.</w:t>
            </w:r>
          </w:p>
        </w:tc>
      </w:tr>
      <w:tr>
        <w:tc>
          <w:tcPr>
            <w:tcW w:type="dxa" w:w="2100"/>
            <w:tcBorders>
              <w:top w:val="single" w:color="D8D4E2" w:sz="4"/>
              <w:left w:val="none"/>
              <w:bottom w:val="single" w:color="D8D4E2" w:sz="4"/>
              <w:right w:val="none"/>
            </w:tcBorders>
            <w:tcMar>
              <w:top w:type="dxa" w:w="70"/>
              <w:left w:type="dxa" w:w="110"/>
              <w:bottom w:type="dxa" w:w="70"/>
              <w:right w:type="dxa" w:w="110"/>
            </w:tcMar>
          </w:tcPr>
          <w:p>
            <w:pPr>
              <w:spacing w:after="0" w:line="264"/>
            </w:pPr>
            <w:r>
              <w:rPr>
                <w:rFonts w:ascii="Calibri" w:cs="Calibri" w:eastAsia="Calibri" w:hAnsi="Calibri"/>
                <w:b/>
                <w:bCs/>
                <w:color w:val="2E6FA8"/>
                <w:sz w:val="17"/>
                <w:szCs w:val="17"/>
              </w:rPr>
              <w:t xml:space="preserve">Healthcare</w:t>
            </w:r>
          </w:p>
        </w:tc>
        <w:tc>
          <w:tcPr>
            <w:tcW w:type="dxa" w:w="1500"/>
            <w:tcBorders>
              <w:top w:val="single" w:color="D8D4E2" w:sz="4"/>
              <w:left w:val="none"/>
              <w:bottom w:val="single" w:color="D8D4E2" w:sz="4"/>
              <w:right w:val="none"/>
            </w:tcBorders>
            <w:tcMar>
              <w:top w:type="dxa" w:w="70"/>
              <w:left w:type="dxa" w:w="110"/>
              <w:bottom w:type="dxa" w:w="70"/>
              <w:right w:type="dxa" w:w="110"/>
            </w:tcMar>
          </w:tcPr>
          <w:p>
            <w:pPr>
              <w:spacing w:after="0" w:line="264"/>
            </w:pPr>
            <w:r>
              <w:rPr>
                <w:rFonts w:ascii="Calibri" w:cs="Calibri" w:eastAsia="Calibri" w:hAnsi="Calibri"/>
                <w:color w:val="1A1A1A"/>
                <w:sz w:val="17"/>
                <w:szCs w:val="17"/>
              </w:rPr>
              <w:t xml:space="preserve">Vertical</w:t>
            </w:r>
          </w:p>
        </w:tc>
        <w:tc>
          <w:tcPr>
            <w:tcW w:type="dxa" w:w="900"/>
            <w:tcBorders>
              <w:top w:val="single" w:color="D8D4E2" w:sz="4"/>
              <w:left w:val="none"/>
              <w:bottom w:val="single" w:color="D8D4E2" w:sz="4"/>
              <w:right w:val="none"/>
            </w:tcBorders>
            <w:tcMar>
              <w:top w:type="dxa" w:w="70"/>
              <w:left w:type="dxa" w:w="110"/>
              <w:bottom w:type="dxa" w:w="70"/>
              <w:right w:type="dxa" w:w="110"/>
            </w:tcMar>
          </w:tcPr>
          <w:p>
            <w:pPr>
              <w:spacing w:after="0" w:line="264"/>
            </w:pPr>
            <w:r>
              <w:rPr>
                <w:rFonts w:ascii="Calibri" w:cs="Calibri" w:eastAsia="Calibri" w:hAnsi="Calibri"/>
                <w:color w:val="1A1A1A"/>
                <w:sz w:val="17"/>
                <w:szCs w:val="17"/>
              </w:rPr>
              <w:t xml:space="preserve">$4</w:t>
            </w:r>
          </w:p>
        </w:tc>
        <w:tc>
          <w:tcPr>
            <w:tcW w:type="dxa" w:w="5580"/>
            <w:tcBorders>
              <w:top w:val="single" w:color="D8D4E2" w:sz="4"/>
              <w:left w:val="none"/>
              <w:bottom w:val="single" w:color="D8D4E2" w:sz="4"/>
              <w:right w:val="none"/>
            </w:tcBorders>
            <w:tcMar>
              <w:top w:type="dxa" w:w="70"/>
              <w:left w:type="dxa" w:w="110"/>
              <w:bottom w:type="dxa" w:w="70"/>
              <w:right w:type="dxa" w:w="110"/>
            </w:tcMar>
          </w:tcPr>
          <w:p>
            <w:pPr>
              <w:spacing w:after="0" w:line="264"/>
            </w:pPr>
            <w:r>
              <w:rPr>
                <w:rFonts w:ascii="Calibri" w:cs="Calibri" w:eastAsia="Calibri" w:hAnsi="Calibri"/>
                <w:color w:val="1A1A1A"/>
                <w:sz w:val="17"/>
                <w:szCs w:val="17"/>
              </w:rPr>
              <w:t xml:space="preserve">Uses the whole hub network natively, without touching a hub.</w:t>
            </w:r>
          </w:p>
        </w:tc>
      </w:tr>
      <w:tr>
        <w:tc>
          <w:tcPr>
            <w:tcW w:type="dxa" w:w="2100"/>
            <w:tcBorders>
              <w:top w:val="single" w:color="D8D4E2" w:sz="4"/>
              <w:left w:val="none"/>
              <w:bottom w:val="single" w:color="D8D4E2" w:sz="4"/>
              <w:right w:val="none"/>
            </w:tcBorders>
            <w:tcMar>
              <w:top w:type="dxa" w:w="70"/>
              <w:left w:type="dxa" w:w="110"/>
              <w:bottom w:type="dxa" w:w="70"/>
              <w:right w:type="dxa" w:w="110"/>
            </w:tcMar>
          </w:tcPr>
          <w:p>
            <w:pPr>
              <w:spacing w:after="0" w:line="264"/>
            </w:pPr>
            <w:r>
              <w:rPr>
                <w:rFonts w:ascii="Calibri" w:cs="Calibri" w:eastAsia="Calibri" w:hAnsi="Calibri"/>
                <w:b/>
                <w:bCs/>
                <w:color w:val="A83370"/>
                <w:sz w:val="17"/>
                <w:szCs w:val="17"/>
              </w:rPr>
              <w:t xml:space="preserve">Technology</w:t>
            </w:r>
          </w:p>
        </w:tc>
        <w:tc>
          <w:tcPr>
            <w:tcW w:type="dxa" w:w="1500"/>
            <w:tcBorders>
              <w:top w:val="single" w:color="D8D4E2" w:sz="4"/>
              <w:left w:val="none"/>
              <w:bottom w:val="single" w:color="D8D4E2" w:sz="4"/>
              <w:right w:val="none"/>
            </w:tcBorders>
            <w:tcMar>
              <w:top w:type="dxa" w:w="70"/>
              <w:left w:type="dxa" w:w="110"/>
              <w:bottom w:type="dxa" w:w="70"/>
              <w:right w:type="dxa" w:w="110"/>
            </w:tcMar>
          </w:tcPr>
          <w:p>
            <w:pPr>
              <w:spacing w:after="0" w:line="264"/>
            </w:pPr>
            <w:r>
              <w:rPr>
                <w:rFonts w:ascii="Calibri" w:cs="Calibri" w:eastAsia="Calibri" w:hAnsi="Calibri"/>
                <w:color w:val="1A1A1A"/>
                <w:sz w:val="17"/>
                <w:szCs w:val="17"/>
              </w:rPr>
              <w:t xml:space="preserve">Horizontal</w:t>
            </w:r>
          </w:p>
        </w:tc>
        <w:tc>
          <w:tcPr>
            <w:tcW w:type="dxa" w:w="900"/>
            <w:tcBorders>
              <w:top w:val="single" w:color="D8D4E2" w:sz="4"/>
              <w:left w:val="none"/>
              <w:bottom w:val="single" w:color="D8D4E2" w:sz="4"/>
              <w:right w:val="none"/>
            </w:tcBorders>
            <w:tcMar>
              <w:top w:type="dxa" w:w="70"/>
              <w:left w:type="dxa" w:w="110"/>
              <w:bottom w:type="dxa" w:w="70"/>
              <w:right w:type="dxa" w:w="110"/>
            </w:tcMar>
          </w:tcPr>
          <w:p>
            <w:pPr>
              <w:spacing w:after="0" w:line="264"/>
            </w:pPr>
            <w:r>
              <w:rPr>
                <w:rFonts w:ascii="Calibri" w:cs="Calibri" w:eastAsia="Calibri" w:hAnsi="Calibri"/>
                <w:color w:val="1A1A1A"/>
                <w:sz w:val="17"/>
                <w:szCs w:val="17"/>
              </w:rPr>
              <w:t xml:space="preserve">$4</w:t>
            </w:r>
          </w:p>
        </w:tc>
        <w:tc>
          <w:tcPr>
            <w:tcW w:type="dxa" w:w="5580"/>
            <w:tcBorders>
              <w:top w:val="single" w:color="D8D4E2" w:sz="4"/>
              <w:left w:val="none"/>
              <w:bottom w:val="single" w:color="D8D4E2" w:sz="4"/>
              <w:right w:val="none"/>
            </w:tcBorders>
            <w:tcMar>
              <w:top w:type="dxa" w:w="70"/>
              <w:left w:type="dxa" w:w="110"/>
              <w:bottom w:type="dxa" w:w="70"/>
              <w:right w:type="dxa" w:w="110"/>
            </w:tcMar>
          </w:tcPr>
          <w:p>
            <w:pPr>
              <w:spacing w:after="0" w:line="264"/>
            </w:pPr>
            <w:r>
              <w:rPr>
                <w:rFonts w:ascii="Calibri" w:cs="Calibri" w:eastAsia="Calibri" w:hAnsi="Calibri"/>
                <w:color w:val="1A1A1A"/>
                <w:sz w:val="17"/>
                <w:szCs w:val="17"/>
              </w:rPr>
              <w:t xml:space="preserve">Delivers 2 units per icon, paid for both — clears production on half the demand.</w:t>
            </w:r>
          </w:p>
        </w:tc>
      </w:tr>
    </w:tbl>
    <w:p>
      <w:pPr>
        <w:pBdr>
          <w:bottom w:val="single" w:color="D8D4E2" w:sz="6" w:space="4"/>
        </w:pBdr>
        <w:spacing w:after="110" w:before="220"/>
      </w:pPr>
      <w:r>
        <w:rPr>
          <w:rFonts w:ascii="Calibri" w:cs="Calibri" w:eastAsia="Calibri" w:hAnsi="Calibri"/>
          <w:b/>
          <w:bCs/>
          <w:color w:val="4A3AB5"/>
          <w:spacing w:val="30"/>
          <w:sz w:val="20"/>
          <w:szCs w:val="20"/>
        </w:rPr>
        <w:t xml:space="preserve">IN THE BOX</w:t>
      </w:r>
    </w:p>
    <w:p>
      <w:pPr>
        <w:spacing w:after="60" w:line="264"/>
      </w:pPr>
      <w:r>
        <w:rPr>
          <w:rFonts w:ascii="Calibri" w:cs="Calibri" w:eastAsia="Calibri" w:hAnsi="Calibri"/>
          <w:color w:val="1A1A1A"/>
          <w:sz w:val="18"/>
          <w:szCs w:val="18"/>
        </w:rPr>
        <w:t xml:space="preserve">1 city board · 20 district tiles · 60 Blueprint cards · 16 Megacorp tiles · 1 IPO tile · 6 portfolio boards · 3 auxiliary boards · 270 cubes · 12 hub discs · 72 player discs (12 each) · EP tokens · currency.</w:t>
      </w:r>
    </w:p>
    <w:p>
      <w:pPr>
        <w:spacing w:after="100" w:line="264"/>
      </w:pPr>
      <w:r>
        <w:rPr>
          <w:rFonts w:ascii="Calibri" w:cs="Calibri" w:eastAsia="Calibri" w:hAnsi="Calibri"/>
          <w:i/>
          <w:iCs/>
          <w:color w:val="6B6B78"/>
          <w:sz w:val="17"/>
          <w:szCs w:val="17"/>
        </w:rPr>
        <w:t xml:space="preserve">Cube counts and auxiliary boards are what I would expect to negotiate first. The Blueprint deck is the component that sets the player ceiling: at six players 72% of the sixty cards are consumed by the end of Year 3, which is why six is the maximum rather than an arbitrary choice.</w:t>
      </w:r>
    </w:p>
    <w:p>
      <w:pPr>
        <w:pBdr>
          <w:bottom w:val="single" w:color="D8D4E2" w:sz="6" w:space="4"/>
        </w:pBdr>
        <w:spacing w:after="110" w:before="220"/>
      </w:pPr>
      <w:r>
        <w:rPr>
          <w:rFonts w:ascii="Calibri" w:cs="Calibri" w:eastAsia="Calibri" w:hAnsi="Calibri"/>
          <w:b/>
          <w:bCs/>
          <w:color w:val="4A3AB5"/>
          <w:spacing w:val="30"/>
          <w:sz w:val="20"/>
          <w:szCs w:val="20"/>
        </w:rPr>
        <w:t xml:space="preserve">THE MAP DOES THE BALANCING</w:t>
      </w:r>
    </w:p>
    <w:p>
      <w:pPr>
        <w:spacing w:after="100" w:line="264"/>
      </w:pPr>
      <w:r>
        <w:rPr>
          <w:rFonts w:ascii="Calibri" w:cs="Calibri" w:eastAsia="Calibri" w:hAnsi="Calibri"/>
          <w:color w:val="1A1A1A"/>
          <w:sz w:val="18"/>
          <w:szCs w:val="18"/>
        </w:rPr>
        <w:t xml:space="preserve">Every district shows four demand rows drawn from the six industries, one of which it wants twice — so each district has an appetite of its own. Where an industry can sell at all is deliberately uneven.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0"/>
        <w:gridCol w:w="6080"/>
        <w:gridCol w:w="900"/>
      </w:tblGrid>
      <w:tr>
        <w:trPr>
          <w:tblHeader/>
        </w:trPr>
        <w:tc>
          <w:tcPr>
            <w:tcW w:type="dxa" w:w="3100"/>
            <w:tcBorders>
              <w:top w:val="single" w:color="D8D4E2" w:sz="4"/>
              <w:left w:val="none"/>
              <w:bottom w:val="single" w:color="D8D4E2" w:sz="4"/>
              <w:right w:val="none"/>
            </w:tcBorders>
            <w:shd w:fill="F1EFF7" w:color="auto" w:val="clear"/>
            <w:tcMar>
              <w:top w:type="dxa" w:w="70"/>
              <w:left w:type="dxa" w:w="110"/>
              <w:bottom w:type="dxa" w:w="70"/>
              <w:right w:type="dxa" w:w="110"/>
            </w:tcMar>
          </w:tcPr>
          <w:p>
            <w:pPr>
              <w:spacing w:after="0" w:line="264"/>
            </w:pPr>
            <w:r>
              <w:rPr>
                <w:rFonts w:ascii="Calibri" w:cs="Calibri" w:eastAsia="Calibri" w:hAnsi="Calibri"/>
                <w:b/>
                <w:bCs/>
                <w:color w:val="6B6B78"/>
                <w:sz w:val="16"/>
                <w:szCs w:val="16"/>
              </w:rPr>
              <w:t xml:space="preserve">Industry</w:t>
            </w:r>
          </w:p>
        </w:tc>
        <w:tc>
          <w:tcPr>
            <w:tcW w:type="dxa" w:w="6080"/>
            <w:tcBorders>
              <w:top w:val="single" w:color="D8D4E2" w:sz="4"/>
              <w:left w:val="none"/>
              <w:bottom w:val="single" w:color="D8D4E2" w:sz="4"/>
              <w:right w:val="none"/>
            </w:tcBorders>
            <w:shd w:fill="F1EFF7" w:color="auto" w:val="clear"/>
            <w:tcMar>
              <w:top w:type="dxa" w:w="70"/>
              <w:left w:type="dxa" w:w="110"/>
              <w:bottom w:type="dxa" w:w="70"/>
              <w:right w:type="dxa" w:w="110"/>
            </w:tcMar>
          </w:tcPr>
          <w:p>
            <w:pPr>
              <w:spacing w:after="0" w:line="264"/>
            </w:pPr>
            <w:r>
              <w:rPr>
                <w:rFonts w:ascii="Calibri" w:cs="Calibri" w:eastAsia="Calibri" w:hAnsi="Calibri"/>
                <w:b/>
                <w:bCs/>
                <w:color w:val="6B6B78"/>
                <w:sz w:val="16"/>
                <w:szCs w:val="16"/>
              </w:rPr>
              <w:t xml:space="preserve">Where its demand lives</w:t>
            </w:r>
          </w:p>
        </w:tc>
        <w:tc>
          <w:tcPr>
            <w:tcW w:type="dxa" w:w="900"/>
            <w:tcBorders>
              <w:top w:val="single" w:color="D8D4E2" w:sz="4"/>
              <w:left w:val="none"/>
              <w:bottom w:val="single" w:color="D8D4E2" w:sz="4"/>
              <w:right w:val="none"/>
            </w:tcBorders>
            <w:shd w:fill="F1EFF7" w:color="auto" w:val="clear"/>
            <w:tcMar>
              <w:top w:type="dxa" w:w="70"/>
              <w:left w:type="dxa" w:w="110"/>
              <w:bottom w:type="dxa" w:w="70"/>
              <w:right w:type="dxa" w:w="110"/>
            </w:tcMar>
          </w:tcPr>
          <w:p>
            <w:pPr>
              <w:spacing w:after="0" w:line="264"/>
            </w:pPr>
            <w:r>
              <w:rPr>
                <w:rFonts w:ascii="Calibri" w:cs="Calibri" w:eastAsia="Calibri" w:hAnsi="Calibri"/>
                <w:b/>
                <w:bCs/>
                <w:color w:val="6B6B78"/>
                <w:sz w:val="16"/>
                <w:szCs w:val="16"/>
              </w:rPr>
              <w:t xml:space="preserve">Price</w:t>
            </w:r>
          </w:p>
        </w:tc>
      </w:tr>
      <w:tr>
        <w:tc>
          <w:tcPr>
            <w:tcW w:type="dxa" w:w="3100"/>
            <w:tcBorders>
              <w:top w:val="single" w:color="D8D4E2" w:sz="4"/>
              <w:left w:val="none"/>
              <w:bottom w:val="single" w:color="D8D4E2" w:sz="4"/>
              <w:right w:val="none"/>
            </w:tcBorders>
            <w:tcMar>
              <w:top w:type="dxa" w:w="70"/>
              <w:left w:type="dxa" w:w="110"/>
              <w:bottom w:type="dxa" w:w="70"/>
              <w:right w:type="dxa" w:w="110"/>
            </w:tcMar>
          </w:tcPr>
          <w:p>
            <w:pPr>
              <w:spacing w:after="0" w:line="264"/>
            </w:pPr>
            <w:r>
              <w:rPr>
                <w:rFonts w:ascii="Calibri" w:cs="Calibri" w:eastAsia="Calibri" w:hAnsi="Calibri"/>
                <w:color w:val="1A1A1A"/>
                <w:sz w:val="17"/>
                <w:szCs w:val="17"/>
              </w:rPr>
              <w:t xml:space="preserve">Utilities · Retail</w:t>
            </w:r>
          </w:p>
        </w:tc>
        <w:tc>
          <w:tcPr>
            <w:tcW w:type="dxa" w:w="6080"/>
            <w:tcBorders>
              <w:top w:val="single" w:color="D8D4E2" w:sz="4"/>
              <w:left w:val="none"/>
              <w:bottom w:val="single" w:color="D8D4E2" w:sz="4"/>
              <w:right w:val="none"/>
            </w:tcBorders>
            <w:tcMar>
              <w:top w:type="dxa" w:w="70"/>
              <w:left w:type="dxa" w:w="110"/>
              <w:bottom w:type="dxa" w:w="70"/>
              <w:right w:type="dxa" w:w="110"/>
            </w:tcMar>
          </w:tcPr>
          <w:p>
            <w:pPr>
              <w:spacing w:after="0" w:line="264"/>
            </w:pPr>
            <w:r>
              <w:rPr>
                <w:rFonts w:ascii="Calibri" w:cs="Calibri" w:eastAsia="Calibri" w:hAnsi="Calibri"/>
                <w:color w:val="1A1A1A"/>
                <w:sz w:val="17"/>
                <w:szCs w:val="17"/>
              </w:rPr>
              <w:t xml:space="preserve">Almost everywhere, including the cheap outer ring</w:t>
            </w:r>
          </w:p>
        </w:tc>
        <w:tc>
          <w:tcPr>
            <w:tcW w:type="dxa" w:w="900"/>
            <w:tcBorders>
              <w:top w:val="single" w:color="D8D4E2" w:sz="4"/>
              <w:left w:val="none"/>
              <w:bottom w:val="single" w:color="D8D4E2" w:sz="4"/>
              <w:right w:val="none"/>
            </w:tcBorders>
            <w:tcMar>
              <w:top w:type="dxa" w:w="70"/>
              <w:left w:type="dxa" w:w="110"/>
              <w:bottom w:type="dxa" w:w="70"/>
              <w:right w:type="dxa" w:w="110"/>
            </w:tcMar>
          </w:tcPr>
          <w:p>
            <w:pPr>
              <w:spacing w:after="0" w:line="264"/>
            </w:pPr>
            <w:r>
              <w:rPr>
                <w:rFonts w:ascii="Calibri" w:cs="Calibri" w:eastAsia="Calibri" w:hAnsi="Calibri"/>
                <w:color w:val="1A1A1A"/>
                <w:sz w:val="17"/>
                <w:szCs w:val="17"/>
              </w:rPr>
              <w:t xml:space="preserve">$2</w:t>
            </w:r>
          </w:p>
        </w:tc>
      </w:tr>
      <w:tr>
        <w:tc>
          <w:tcPr>
            <w:tcW w:type="dxa" w:w="3100"/>
            <w:tcBorders>
              <w:top w:val="single" w:color="D8D4E2" w:sz="4"/>
              <w:left w:val="none"/>
              <w:bottom w:val="single" w:color="D8D4E2" w:sz="4"/>
              <w:right w:val="none"/>
            </w:tcBorders>
            <w:tcMar>
              <w:top w:type="dxa" w:w="70"/>
              <w:left w:type="dxa" w:w="110"/>
              <w:bottom w:type="dxa" w:w="70"/>
              <w:right w:type="dxa" w:w="110"/>
            </w:tcMar>
          </w:tcPr>
          <w:p>
            <w:pPr>
              <w:spacing w:after="0" w:line="264"/>
            </w:pPr>
            <w:r>
              <w:rPr>
                <w:rFonts w:ascii="Calibri" w:cs="Calibri" w:eastAsia="Calibri" w:hAnsi="Calibri"/>
                <w:color w:val="1A1A1A"/>
                <w:sz w:val="17"/>
                <w:szCs w:val="17"/>
              </w:rPr>
              <w:t xml:space="preserve">Hospitality · Manufacturing</w:t>
            </w:r>
          </w:p>
        </w:tc>
        <w:tc>
          <w:tcPr>
            <w:tcW w:type="dxa" w:w="6080"/>
            <w:tcBorders>
              <w:top w:val="single" w:color="D8D4E2" w:sz="4"/>
              <w:left w:val="none"/>
              <w:bottom w:val="single" w:color="D8D4E2" w:sz="4"/>
              <w:right w:val="none"/>
            </w:tcBorders>
            <w:tcMar>
              <w:top w:type="dxa" w:w="70"/>
              <w:left w:type="dxa" w:w="110"/>
              <w:bottom w:type="dxa" w:w="70"/>
              <w:right w:type="dxa" w:w="110"/>
            </w:tcMar>
          </w:tcPr>
          <w:p>
            <w:pPr>
              <w:spacing w:after="0" w:line="264"/>
            </w:pPr>
            <w:r>
              <w:rPr>
                <w:rFonts w:ascii="Calibri" w:cs="Calibri" w:eastAsia="Calibri" w:hAnsi="Calibri"/>
                <w:color w:val="1A1A1A"/>
                <w:sz w:val="17"/>
                <w:szCs w:val="17"/>
              </w:rPr>
              <w:t xml:space="preserve">Spread across both suburbs and centre</w:t>
            </w:r>
          </w:p>
        </w:tc>
        <w:tc>
          <w:tcPr>
            <w:tcW w:type="dxa" w:w="900"/>
            <w:tcBorders>
              <w:top w:val="single" w:color="D8D4E2" w:sz="4"/>
              <w:left w:val="none"/>
              <w:bottom w:val="single" w:color="D8D4E2" w:sz="4"/>
              <w:right w:val="none"/>
            </w:tcBorders>
            <w:tcMar>
              <w:top w:type="dxa" w:w="70"/>
              <w:left w:type="dxa" w:w="110"/>
              <w:bottom w:type="dxa" w:w="70"/>
              <w:right w:type="dxa" w:w="110"/>
            </w:tcMar>
          </w:tcPr>
          <w:p>
            <w:pPr>
              <w:spacing w:after="0" w:line="264"/>
            </w:pPr>
            <w:r>
              <w:rPr>
                <w:rFonts w:ascii="Calibri" w:cs="Calibri" w:eastAsia="Calibri" w:hAnsi="Calibri"/>
                <w:color w:val="1A1A1A"/>
                <w:sz w:val="17"/>
                <w:szCs w:val="17"/>
              </w:rPr>
              <w:t xml:space="preserve">$3</w:t>
            </w:r>
          </w:p>
        </w:tc>
      </w:tr>
      <w:tr>
        <w:tc>
          <w:tcPr>
            <w:tcW w:type="dxa" w:w="3100"/>
            <w:tcBorders>
              <w:top w:val="single" w:color="D8D4E2" w:sz="4"/>
              <w:left w:val="none"/>
              <w:bottom w:val="single" w:color="D8D4E2" w:sz="4"/>
              <w:right w:val="none"/>
            </w:tcBorders>
            <w:tcMar>
              <w:top w:type="dxa" w:w="70"/>
              <w:left w:type="dxa" w:w="110"/>
              <w:bottom w:type="dxa" w:w="70"/>
              <w:right w:type="dxa" w:w="110"/>
            </w:tcMar>
          </w:tcPr>
          <w:p>
            <w:pPr>
              <w:spacing w:after="0" w:line="264"/>
            </w:pPr>
            <w:r>
              <w:rPr>
                <w:rFonts w:ascii="Calibri" w:cs="Calibri" w:eastAsia="Calibri" w:hAnsi="Calibri"/>
                <w:color w:val="1A1A1A"/>
                <w:sz w:val="17"/>
                <w:szCs w:val="17"/>
              </w:rPr>
              <w:t xml:space="preserve">Healthcare · Technology</w:t>
            </w:r>
          </w:p>
        </w:tc>
        <w:tc>
          <w:tcPr>
            <w:tcW w:type="dxa" w:w="6080"/>
            <w:tcBorders>
              <w:top w:val="single" w:color="D8D4E2" w:sz="4"/>
              <w:left w:val="none"/>
              <w:bottom w:val="single" w:color="D8D4E2" w:sz="4"/>
              <w:right w:val="none"/>
            </w:tcBorders>
            <w:tcMar>
              <w:top w:type="dxa" w:w="70"/>
              <w:left w:type="dxa" w:w="110"/>
              <w:bottom w:type="dxa" w:w="70"/>
              <w:right w:type="dxa" w:w="110"/>
            </w:tcMar>
          </w:tcPr>
          <w:p>
            <w:pPr>
              <w:spacing w:after="0" w:line="264"/>
            </w:pPr>
            <w:r>
              <w:rPr>
                <w:rFonts w:ascii="Calibri" w:cs="Calibri" w:eastAsia="Calibri" w:hAnsi="Calibri"/>
                <w:color w:val="1A1A1A"/>
                <w:sz w:val="17"/>
                <w:szCs w:val="17"/>
              </w:rPr>
              <w:t xml:space="preserve">City Centre, plus one suburb row each — both locked until Q5</w:t>
            </w:r>
          </w:p>
        </w:tc>
        <w:tc>
          <w:tcPr>
            <w:tcW w:type="dxa" w:w="900"/>
            <w:tcBorders>
              <w:top w:val="single" w:color="D8D4E2" w:sz="4"/>
              <w:left w:val="none"/>
              <w:bottom w:val="single" w:color="D8D4E2" w:sz="4"/>
              <w:right w:val="none"/>
            </w:tcBorders>
            <w:tcMar>
              <w:top w:type="dxa" w:w="70"/>
              <w:left w:type="dxa" w:w="110"/>
              <w:bottom w:type="dxa" w:w="70"/>
              <w:right w:type="dxa" w:w="110"/>
            </w:tcMar>
          </w:tcPr>
          <w:p>
            <w:pPr>
              <w:spacing w:after="0" w:line="264"/>
            </w:pPr>
            <w:r>
              <w:rPr>
                <w:rFonts w:ascii="Calibri" w:cs="Calibri" w:eastAsia="Calibri" w:hAnsi="Calibri"/>
                <w:color w:val="1A1A1A"/>
                <w:sz w:val="17"/>
                <w:szCs w:val="17"/>
              </w:rPr>
              <w:t xml:space="preserve">$4</w:t>
            </w:r>
          </w:p>
        </w:tc>
      </w:tr>
    </w:tbl>
    <w:p>
      <w:pPr>
        <w:spacing w:after="120"/>
      </w:pPr>
    </w:p>
    <w:p>
      <w:pPr>
        <w:spacing w:after="100" w:line="264"/>
      </w:pPr>
      <w:r>
        <w:rPr>
          <w:rFonts w:ascii="Calibri" w:cs="Calibri" w:eastAsia="Calibri" w:hAnsi="Calibri"/>
          <w:color w:val="1A1A1A"/>
          <w:sz w:val="18"/>
          <w:szCs w:val="18"/>
        </w:rPr>
        <w:t xml:space="preserve">For all of Year 1 the $4 industries can only sell in the centre, where land runs $4–$6 a plot against $1 at the rim. The premium is paid twice: in land, and in waiting.</w:t>
      </w:r>
    </w:p>
    <w:p>
      <w:pPr>
        <w:pBdr>
          <w:bottom w:val="single" w:color="D8D4E2" w:sz="6" w:space="4"/>
        </w:pBdr>
        <w:spacing w:after="110" w:before="220"/>
      </w:pPr>
      <w:r>
        <w:rPr>
          <w:rFonts w:ascii="Calibri" w:cs="Calibri" w:eastAsia="Calibri" w:hAnsi="Calibri"/>
          <w:b/>
          <w:bCs/>
          <w:color w:val="4A3AB5"/>
          <w:spacing w:val="30"/>
          <w:sz w:val="20"/>
          <w:szCs w:val="20"/>
        </w:rPr>
        <w:t xml:space="preserve">BALANCE, MEASURED</w:t>
      </w:r>
    </w:p>
    <w:p>
      <w:pPr>
        <w:spacing w:after="100" w:line="264"/>
      </w:pPr>
      <w:r>
        <w:rPr>
          <w:rFonts w:ascii="Calibri" w:cs="Calibri" w:eastAsia="Calibri" w:hAnsi="Calibri"/>
          <w:color w:val="1A1A1A"/>
          <w:sz w:val="18"/>
          <w:szCs w:val="18"/>
        </w:rPr>
        <w:t xml:space="preserve">Tuned against a simulation harness rather than by feel. Across 250 complete games at every table size from two to six, how often each industry appeared in the winner's portfolio, averaged over all five counts. Two standard errors is about ±6 points, so most of this list is one flat band — the point is that none of the six is dead.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6580"/>
        <w:gridCol w:w="900"/>
      </w:tblGrid>
      <w:tr>
        <w:tc>
          <w:tcPr>
            <w:tcW w:type="dxa" w:w="2600"/>
            <w:tcBorders>
              <w:top w:val="single" w:color="D8D4E2" w:sz="4"/>
              <w:left w:val="none"/>
              <w:bottom w:val="single" w:color="D8D4E2" w:sz="4"/>
              <w:right w:val="none"/>
            </w:tcBorders>
            <w:tcMar>
              <w:top w:type="dxa" w:w="70"/>
              <w:left w:type="dxa" w:w="110"/>
              <w:bottom w:type="dxa" w:w="70"/>
              <w:right w:type="dxa" w:w="110"/>
            </w:tcMar>
          </w:tcPr>
          <w:p>
            <w:pPr>
              <w:spacing w:after="0" w:line="264"/>
            </w:pPr>
            <w:r>
              <w:rPr>
                <w:rFonts w:ascii="Calibri" w:cs="Calibri" w:eastAsia="Calibri" w:hAnsi="Calibri"/>
                <w:color w:val="1A1A1A"/>
                <w:sz w:val="17"/>
                <w:szCs w:val="17"/>
              </w:rPr>
              <w:t xml:space="preserve">Hospitality</w:t>
            </w:r>
          </w:p>
        </w:tc>
        <w:tc>
          <w:tcPr>
            <w:tcW w:type="dxa" w:w="6580"/>
            <w:tcBorders>
              <w:top w:val="single" w:color="D8D4E2" w:sz="4"/>
              <w:left w:val="none"/>
              <w:bottom w:val="single" w:color="D8D4E2" w:sz="4"/>
              <w:right w:val="none"/>
            </w:tcBorders>
            <w:tcMar>
              <w:top w:type="dxa" w:w="70"/>
              <w:left w:type="dxa" w:w="110"/>
              <w:bottom w:type="dxa" w:w="70"/>
              <w:right w:type="dxa" w:w="110"/>
            </w:tcMar>
          </w:tcPr>
          <w:p>
            <w:pPr>
              <w:spacing w:after="0" w:line="264"/>
            </w:pPr>
            <w:r>
              <w:rPr>
                <w:rFonts w:ascii="Calibri" w:cs="Calibri" w:eastAsia="Calibri" w:hAnsi="Calibri"/>
                <w:color w:val="1A1A1A"/>
                <w:sz w:val="17"/>
                <w:szCs w:val="17"/>
              </w:rPr>
              <w:t xml:space="preserve">████████████████</w:t>
            </w:r>
          </w:p>
        </w:tc>
        <w:tc>
          <w:tcPr>
            <w:tcW w:type="dxa" w:w="900"/>
            <w:tcBorders>
              <w:top w:val="single" w:color="D8D4E2" w:sz="4"/>
              <w:left w:val="none"/>
              <w:bottom w:val="single" w:color="D8D4E2" w:sz="4"/>
              <w:right w:val="none"/>
            </w:tcBorders>
            <w:tcMar>
              <w:top w:type="dxa" w:w="70"/>
              <w:left w:type="dxa" w:w="110"/>
              <w:bottom w:type="dxa" w:w="70"/>
              <w:right w:type="dxa" w:w="110"/>
            </w:tcMar>
          </w:tcPr>
          <w:p>
            <w:pPr>
              <w:spacing w:after="0" w:line="264"/>
            </w:pPr>
            <w:r>
              <w:rPr>
                <w:rFonts w:ascii="Calibri" w:cs="Calibri" w:eastAsia="Calibri" w:hAnsi="Calibri"/>
                <w:color w:val="1A1A1A"/>
                <w:sz w:val="17"/>
                <w:szCs w:val="17"/>
              </w:rPr>
              <w:t xml:space="preserve">60%</w:t>
            </w:r>
          </w:p>
        </w:tc>
      </w:tr>
      <w:tr>
        <w:tc>
          <w:tcPr>
            <w:tcW w:type="dxa" w:w="2600"/>
            <w:tcBorders>
              <w:top w:val="single" w:color="D8D4E2" w:sz="4"/>
              <w:left w:val="none"/>
              <w:bottom w:val="single" w:color="D8D4E2" w:sz="4"/>
              <w:right w:val="none"/>
            </w:tcBorders>
            <w:tcMar>
              <w:top w:type="dxa" w:w="70"/>
              <w:left w:type="dxa" w:w="110"/>
              <w:bottom w:type="dxa" w:w="70"/>
              <w:right w:type="dxa" w:w="110"/>
            </w:tcMar>
          </w:tcPr>
          <w:p>
            <w:pPr>
              <w:spacing w:after="0" w:line="264"/>
            </w:pPr>
            <w:r>
              <w:rPr>
                <w:rFonts w:ascii="Calibri" w:cs="Calibri" w:eastAsia="Calibri" w:hAnsi="Calibri"/>
                <w:color w:val="1A1A1A"/>
                <w:sz w:val="17"/>
                <w:szCs w:val="17"/>
              </w:rPr>
              <w:t xml:space="preserve">Retail</w:t>
            </w:r>
          </w:p>
        </w:tc>
        <w:tc>
          <w:tcPr>
            <w:tcW w:type="dxa" w:w="6580"/>
            <w:tcBorders>
              <w:top w:val="single" w:color="D8D4E2" w:sz="4"/>
              <w:left w:val="none"/>
              <w:bottom w:val="single" w:color="D8D4E2" w:sz="4"/>
              <w:right w:val="none"/>
            </w:tcBorders>
            <w:tcMar>
              <w:top w:type="dxa" w:w="70"/>
              <w:left w:type="dxa" w:w="110"/>
              <w:bottom w:type="dxa" w:w="70"/>
              <w:right w:type="dxa" w:w="110"/>
            </w:tcMar>
          </w:tcPr>
          <w:p>
            <w:pPr>
              <w:spacing w:after="0" w:line="264"/>
            </w:pPr>
            <w:r>
              <w:rPr>
                <w:rFonts w:ascii="Calibri" w:cs="Calibri" w:eastAsia="Calibri" w:hAnsi="Calibri"/>
                <w:color w:val="1A1A1A"/>
                <w:sz w:val="17"/>
                <w:szCs w:val="17"/>
              </w:rPr>
              <w:t xml:space="preserve">██████████████</w:t>
            </w:r>
          </w:p>
        </w:tc>
        <w:tc>
          <w:tcPr>
            <w:tcW w:type="dxa" w:w="900"/>
            <w:tcBorders>
              <w:top w:val="single" w:color="D8D4E2" w:sz="4"/>
              <w:left w:val="none"/>
              <w:bottom w:val="single" w:color="D8D4E2" w:sz="4"/>
              <w:right w:val="none"/>
            </w:tcBorders>
            <w:tcMar>
              <w:top w:type="dxa" w:w="70"/>
              <w:left w:type="dxa" w:w="110"/>
              <w:bottom w:type="dxa" w:w="70"/>
              <w:right w:type="dxa" w:w="110"/>
            </w:tcMar>
          </w:tcPr>
          <w:p>
            <w:pPr>
              <w:spacing w:after="0" w:line="264"/>
            </w:pPr>
            <w:r>
              <w:rPr>
                <w:rFonts w:ascii="Calibri" w:cs="Calibri" w:eastAsia="Calibri" w:hAnsi="Calibri"/>
                <w:color w:val="1A1A1A"/>
                <w:sz w:val="17"/>
                <w:szCs w:val="17"/>
              </w:rPr>
              <w:t xml:space="preserve">55%</w:t>
            </w:r>
          </w:p>
        </w:tc>
      </w:tr>
      <w:tr>
        <w:tc>
          <w:tcPr>
            <w:tcW w:type="dxa" w:w="2600"/>
            <w:tcBorders>
              <w:top w:val="single" w:color="D8D4E2" w:sz="4"/>
              <w:left w:val="none"/>
              <w:bottom w:val="single" w:color="D8D4E2" w:sz="4"/>
              <w:right w:val="none"/>
            </w:tcBorders>
            <w:tcMar>
              <w:top w:type="dxa" w:w="70"/>
              <w:left w:type="dxa" w:w="110"/>
              <w:bottom w:type="dxa" w:w="70"/>
              <w:right w:type="dxa" w:w="110"/>
            </w:tcMar>
          </w:tcPr>
          <w:p>
            <w:pPr>
              <w:spacing w:after="0" w:line="264"/>
            </w:pPr>
            <w:r>
              <w:rPr>
                <w:rFonts w:ascii="Calibri" w:cs="Calibri" w:eastAsia="Calibri" w:hAnsi="Calibri"/>
                <w:color w:val="1A1A1A"/>
                <w:sz w:val="17"/>
                <w:szCs w:val="17"/>
              </w:rPr>
              <w:t xml:space="preserve">Manufacturing</w:t>
            </w:r>
          </w:p>
        </w:tc>
        <w:tc>
          <w:tcPr>
            <w:tcW w:type="dxa" w:w="6580"/>
            <w:tcBorders>
              <w:top w:val="single" w:color="D8D4E2" w:sz="4"/>
              <w:left w:val="none"/>
              <w:bottom w:val="single" w:color="D8D4E2" w:sz="4"/>
              <w:right w:val="none"/>
            </w:tcBorders>
            <w:tcMar>
              <w:top w:type="dxa" w:w="70"/>
              <w:left w:type="dxa" w:w="110"/>
              <w:bottom w:type="dxa" w:w="70"/>
              <w:right w:type="dxa" w:w="110"/>
            </w:tcMar>
          </w:tcPr>
          <w:p>
            <w:pPr>
              <w:spacing w:after="0" w:line="264"/>
            </w:pPr>
            <w:r>
              <w:rPr>
                <w:rFonts w:ascii="Calibri" w:cs="Calibri" w:eastAsia="Calibri" w:hAnsi="Calibri"/>
                <w:color w:val="1A1A1A"/>
                <w:sz w:val="17"/>
                <w:szCs w:val="17"/>
              </w:rPr>
              <w:t xml:space="preserve">██████████████</w:t>
            </w:r>
          </w:p>
        </w:tc>
        <w:tc>
          <w:tcPr>
            <w:tcW w:type="dxa" w:w="900"/>
            <w:tcBorders>
              <w:top w:val="single" w:color="D8D4E2" w:sz="4"/>
              <w:left w:val="none"/>
              <w:bottom w:val="single" w:color="D8D4E2" w:sz="4"/>
              <w:right w:val="none"/>
            </w:tcBorders>
            <w:tcMar>
              <w:top w:type="dxa" w:w="70"/>
              <w:left w:type="dxa" w:w="110"/>
              <w:bottom w:type="dxa" w:w="70"/>
              <w:right w:type="dxa" w:w="110"/>
            </w:tcMar>
          </w:tcPr>
          <w:p>
            <w:pPr>
              <w:spacing w:after="0" w:line="264"/>
            </w:pPr>
            <w:r>
              <w:rPr>
                <w:rFonts w:ascii="Calibri" w:cs="Calibri" w:eastAsia="Calibri" w:hAnsi="Calibri"/>
                <w:color w:val="1A1A1A"/>
                <w:sz w:val="17"/>
                <w:szCs w:val="17"/>
              </w:rPr>
              <w:t xml:space="preserve">53%</w:t>
            </w:r>
          </w:p>
        </w:tc>
      </w:tr>
      <w:tr>
        <w:tc>
          <w:tcPr>
            <w:tcW w:type="dxa" w:w="2600"/>
            <w:tcBorders>
              <w:top w:val="single" w:color="D8D4E2" w:sz="4"/>
              <w:left w:val="none"/>
              <w:bottom w:val="single" w:color="D8D4E2" w:sz="4"/>
              <w:right w:val="none"/>
            </w:tcBorders>
            <w:tcMar>
              <w:top w:type="dxa" w:w="70"/>
              <w:left w:type="dxa" w:w="110"/>
              <w:bottom w:type="dxa" w:w="70"/>
              <w:right w:type="dxa" w:w="110"/>
            </w:tcMar>
          </w:tcPr>
          <w:p>
            <w:pPr>
              <w:spacing w:after="0" w:line="264"/>
            </w:pPr>
            <w:r>
              <w:rPr>
                <w:rFonts w:ascii="Calibri" w:cs="Calibri" w:eastAsia="Calibri" w:hAnsi="Calibri"/>
                <w:color w:val="1A1A1A"/>
                <w:sz w:val="17"/>
                <w:szCs w:val="17"/>
              </w:rPr>
              <w:t xml:space="preserve">Healthcare</w:t>
            </w:r>
          </w:p>
        </w:tc>
        <w:tc>
          <w:tcPr>
            <w:tcW w:type="dxa" w:w="6580"/>
            <w:tcBorders>
              <w:top w:val="single" w:color="D8D4E2" w:sz="4"/>
              <w:left w:val="none"/>
              <w:bottom w:val="single" w:color="D8D4E2" w:sz="4"/>
              <w:right w:val="none"/>
            </w:tcBorders>
            <w:tcMar>
              <w:top w:type="dxa" w:w="70"/>
              <w:left w:type="dxa" w:w="110"/>
              <w:bottom w:type="dxa" w:w="70"/>
              <w:right w:type="dxa" w:w="110"/>
            </w:tcMar>
          </w:tcPr>
          <w:p>
            <w:pPr>
              <w:spacing w:after="0" w:line="264"/>
            </w:pPr>
            <w:r>
              <w:rPr>
                <w:rFonts w:ascii="Calibri" w:cs="Calibri" w:eastAsia="Calibri" w:hAnsi="Calibri"/>
                <w:color w:val="1A1A1A"/>
                <w:sz w:val="17"/>
                <w:szCs w:val="17"/>
              </w:rPr>
              <w:t xml:space="preserve">█████████████</w:t>
            </w:r>
          </w:p>
        </w:tc>
        <w:tc>
          <w:tcPr>
            <w:tcW w:type="dxa" w:w="900"/>
            <w:tcBorders>
              <w:top w:val="single" w:color="D8D4E2" w:sz="4"/>
              <w:left w:val="none"/>
              <w:bottom w:val="single" w:color="D8D4E2" w:sz="4"/>
              <w:right w:val="none"/>
            </w:tcBorders>
            <w:tcMar>
              <w:top w:type="dxa" w:w="70"/>
              <w:left w:type="dxa" w:w="110"/>
              <w:bottom w:type="dxa" w:w="70"/>
              <w:right w:type="dxa" w:w="110"/>
            </w:tcMar>
          </w:tcPr>
          <w:p>
            <w:pPr>
              <w:spacing w:after="0" w:line="264"/>
            </w:pPr>
            <w:r>
              <w:rPr>
                <w:rFonts w:ascii="Calibri" w:cs="Calibri" w:eastAsia="Calibri" w:hAnsi="Calibri"/>
                <w:color w:val="1A1A1A"/>
                <w:sz w:val="17"/>
                <w:szCs w:val="17"/>
              </w:rPr>
              <w:t xml:space="preserve">49%</w:t>
            </w:r>
          </w:p>
        </w:tc>
      </w:tr>
      <w:tr>
        <w:tc>
          <w:tcPr>
            <w:tcW w:type="dxa" w:w="2600"/>
            <w:tcBorders>
              <w:top w:val="single" w:color="D8D4E2" w:sz="4"/>
              <w:left w:val="none"/>
              <w:bottom w:val="single" w:color="D8D4E2" w:sz="4"/>
              <w:right w:val="none"/>
            </w:tcBorders>
            <w:tcMar>
              <w:top w:type="dxa" w:w="70"/>
              <w:left w:type="dxa" w:w="110"/>
              <w:bottom w:type="dxa" w:w="70"/>
              <w:right w:type="dxa" w:w="110"/>
            </w:tcMar>
          </w:tcPr>
          <w:p>
            <w:pPr>
              <w:spacing w:after="0" w:line="264"/>
            </w:pPr>
            <w:r>
              <w:rPr>
                <w:rFonts w:ascii="Calibri" w:cs="Calibri" w:eastAsia="Calibri" w:hAnsi="Calibri"/>
                <w:color w:val="1A1A1A"/>
                <w:sz w:val="17"/>
                <w:szCs w:val="17"/>
              </w:rPr>
              <w:t xml:space="preserve">Utilities</w:t>
            </w:r>
          </w:p>
        </w:tc>
        <w:tc>
          <w:tcPr>
            <w:tcW w:type="dxa" w:w="6580"/>
            <w:tcBorders>
              <w:top w:val="single" w:color="D8D4E2" w:sz="4"/>
              <w:left w:val="none"/>
              <w:bottom w:val="single" w:color="D8D4E2" w:sz="4"/>
              <w:right w:val="none"/>
            </w:tcBorders>
            <w:tcMar>
              <w:top w:type="dxa" w:w="70"/>
              <w:left w:type="dxa" w:w="110"/>
              <w:bottom w:type="dxa" w:w="70"/>
              <w:right w:type="dxa" w:w="110"/>
            </w:tcMar>
          </w:tcPr>
          <w:p>
            <w:pPr>
              <w:spacing w:after="0" w:line="264"/>
            </w:pPr>
            <w:r>
              <w:rPr>
                <w:rFonts w:ascii="Calibri" w:cs="Calibri" w:eastAsia="Calibri" w:hAnsi="Calibri"/>
                <w:color w:val="1A1A1A"/>
                <w:sz w:val="17"/>
                <w:szCs w:val="17"/>
              </w:rPr>
              <w:t xml:space="preserve">███████████</w:t>
            </w:r>
          </w:p>
        </w:tc>
        <w:tc>
          <w:tcPr>
            <w:tcW w:type="dxa" w:w="900"/>
            <w:tcBorders>
              <w:top w:val="single" w:color="D8D4E2" w:sz="4"/>
              <w:left w:val="none"/>
              <w:bottom w:val="single" w:color="D8D4E2" w:sz="4"/>
              <w:right w:val="none"/>
            </w:tcBorders>
            <w:tcMar>
              <w:top w:type="dxa" w:w="70"/>
              <w:left w:type="dxa" w:w="110"/>
              <w:bottom w:type="dxa" w:w="70"/>
              <w:right w:type="dxa" w:w="110"/>
            </w:tcMar>
          </w:tcPr>
          <w:p>
            <w:pPr>
              <w:spacing w:after="0" w:line="264"/>
            </w:pPr>
            <w:r>
              <w:rPr>
                <w:rFonts w:ascii="Calibri" w:cs="Calibri" w:eastAsia="Calibri" w:hAnsi="Calibri"/>
                <w:color w:val="1A1A1A"/>
                <w:sz w:val="17"/>
                <w:szCs w:val="17"/>
              </w:rPr>
              <w:t xml:space="preserve">42%</w:t>
            </w:r>
          </w:p>
        </w:tc>
      </w:tr>
      <w:tr>
        <w:tc>
          <w:tcPr>
            <w:tcW w:type="dxa" w:w="2600"/>
            <w:tcBorders>
              <w:top w:val="single" w:color="D8D4E2" w:sz="4"/>
              <w:left w:val="none"/>
              <w:bottom w:val="single" w:color="D8D4E2" w:sz="4"/>
              <w:right w:val="none"/>
            </w:tcBorders>
            <w:tcMar>
              <w:top w:type="dxa" w:w="70"/>
              <w:left w:type="dxa" w:w="110"/>
              <w:bottom w:type="dxa" w:w="70"/>
              <w:right w:type="dxa" w:w="110"/>
            </w:tcMar>
          </w:tcPr>
          <w:p>
            <w:pPr>
              <w:spacing w:after="0" w:line="264"/>
            </w:pPr>
            <w:r>
              <w:rPr>
                <w:rFonts w:ascii="Calibri" w:cs="Calibri" w:eastAsia="Calibri" w:hAnsi="Calibri"/>
                <w:color w:val="1A1A1A"/>
                <w:sz w:val="17"/>
                <w:szCs w:val="17"/>
              </w:rPr>
              <w:t xml:space="preserve">Technology</w:t>
            </w:r>
          </w:p>
        </w:tc>
        <w:tc>
          <w:tcPr>
            <w:tcW w:type="dxa" w:w="6580"/>
            <w:tcBorders>
              <w:top w:val="single" w:color="D8D4E2" w:sz="4"/>
              <w:left w:val="none"/>
              <w:bottom w:val="single" w:color="D8D4E2" w:sz="4"/>
              <w:right w:val="none"/>
            </w:tcBorders>
            <w:tcMar>
              <w:top w:type="dxa" w:w="70"/>
              <w:left w:type="dxa" w:w="110"/>
              <w:bottom w:type="dxa" w:w="70"/>
              <w:right w:type="dxa" w:w="110"/>
            </w:tcMar>
          </w:tcPr>
          <w:p>
            <w:pPr>
              <w:spacing w:after="0" w:line="264"/>
            </w:pPr>
            <w:r>
              <w:rPr>
                <w:rFonts w:ascii="Calibri" w:cs="Calibri" w:eastAsia="Calibri" w:hAnsi="Calibri"/>
                <w:color w:val="1A1A1A"/>
                <w:sz w:val="17"/>
                <w:szCs w:val="17"/>
              </w:rPr>
              <w:t xml:space="preserve">███████████</w:t>
            </w:r>
          </w:p>
        </w:tc>
        <w:tc>
          <w:tcPr>
            <w:tcW w:type="dxa" w:w="900"/>
            <w:tcBorders>
              <w:top w:val="single" w:color="D8D4E2" w:sz="4"/>
              <w:left w:val="none"/>
              <w:bottom w:val="single" w:color="D8D4E2" w:sz="4"/>
              <w:right w:val="none"/>
            </w:tcBorders>
            <w:tcMar>
              <w:top w:type="dxa" w:w="70"/>
              <w:left w:type="dxa" w:w="110"/>
              <w:bottom w:type="dxa" w:w="70"/>
              <w:right w:type="dxa" w:w="110"/>
            </w:tcMar>
          </w:tcPr>
          <w:p>
            <w:pPr>
              <w:spacing w:after="0" w:line="264"/>
            </w:pPr>
            <w:r>
              <w:rPr>
                <w:rFonts w:ascii="Calibri" w:cs="Calibri" w:eastAsia="Calibri" w:hAnsi="Calibri"/>
                <w:color w:val="1A1A1A"/>
                <w:sz w:val="17"/>
                <w:szCs w:val="17"/>
              </w:rPr>
              <w:t xml:space="preserve">42%</w:t>
            </w:r>
          </w:p>
        </w:tc>
      </w:tr>
    </w:tbl>
    <w:p>
      <w:pPr>
        <w:spacing w:after="120"/>
      </w:pPr>
    </w:p>
    <w:p>
      <w:pPr>
        <w:spacing w:after="100" w:line="264"/>
      </w:pPr>
      <w:r>
        <w:rPr>
          <w:rFonts w:ascii="Calibri" w:cs="Calibri" w:eastAsia="Calibri" w:hAnsi="Calibri"/>
          <w:i/>
          <w:iCs/>
          <w:color w:val="6B6B78"/>
          <w:sz w:val="17"/>
          <w:szCs w:val="17"/>
        </w:rPr>
        <w:t xml:space="preserve">The spread narrows as the table fills. At six players the six industries sit inside 10 points of each other — entirely within the noise, so they are interchangeable. At two players they are 30 points apart, with Utilities and Technology measurably weaker: both are the industries that want a big board and other people's demand to sell into, and a two-player city has neither.</w:t>
      </w:r>
    </w:p>
    <w:p>
      <w:pPr>
        <w:pBdr>
          <w:bottom w:val="single" w:color="D8D4E2" w:sz="6" w:space="4"/>
        </w:pBdr>
        <w:spacing w:after="110" w:before="220"/>
      </w:pPr>
      <w:r>
        <w:rPr>
          <w:rFonts w:ascii="Calibri" w:cs="Calibri" w:eastAsia="Calibri" w:hAnsi="Calibri"/>
          <w:b/>
          <w:bCs/>
          <w:color w:val="4A3AB5"/>
          <w:spacing w:val="30"/>
          <w:sz w:val="20"/>
          <w:szCs w:val="20"/>
        </w:rPr>
        <w:t xml:space="preserve">WHAT THE HARNESS SAYS ABOUT TABLE SIZE</w:t>
      </w:r>
    </w:p>
    <w:p>
      <w:pPr>
        <w:spacing w:after="100" w:line="264"/>
      </w:pPr>
      <w:r>
        <w:rPr>
          <w:rFonts w:ascii="Calibri" w:cs="Calibri" w:eastAsia="Calibri" w:hAnsi="Calibri"/>
          <w:color w:val="1A1A1A"/>
          <w:sz w:val="18"/>
          <w:szCs w:val="18"/>
        </w:rPr>
        <w:t xml:space="preserve">The economy scales itself. Cash on the table grows almost exactly linearly with the player count — $195 at two seats to $525 at six — while cash per seat stays flat at $80–$98 and the mean industry price rises from $3 in Year 1 to $4 in Year 3 from three seats up. No rule needs to change with the number of players except the two extra track slots and which Megacorp tiers come out.</w:t>
      </w:r>
    </w:p>
    <w:p>
      <w:pPr>
        <w:spacing w:after="40" w:line="264"/>
      </w:pPr>
      <w:r>
        <w:rPr>
          <w:rFonts w:ascii="Calibri" w:cs="Calibri" w:eastAsia="Calibri" w:hAnsi="Calibri"/>
          <w:color w:val="1A1A1A"/>
          <w:sz w:val="18"/>
          <w:szCs w:val="18"/>
        </w:rPr>
        <w:t xml:space="preserve">What binds first changes at five seats. Below that it is the twelve discs; at five and six it is the Blueprint deck, which is what sets the player ceiling at six — 72% of the sixty cards are consumed by the end of Year 3. The city itself is never the limit: at most 38% of plots are ever owned and at most 21% of the open demand slots ever filled. Two players play in a noticeably empty city, which is the one count where a smaller map would tighten the game.</w:t>
      </w:r>
    </w:p>
    <w:p>
      <w:pPr>
        <w:pBdr>
          <w:bottom w:val="single" w:color="D8D4E2" w:sz="6" w:space="4"/>
        </w:pBdr>
        <w:spacing w:after="110" w:before="220"/>
      </w:pPr>
      <w:r>
        <w:rPr>
          <w:rFonts w:ascii="Calibri" w:cs="Calibri" w:eastAsia="Calibri" w:hAnsi="Calibri"/>
          <w:b/>
          <w:bCs/>
          <w:color w:val="4A3AB5"/>
          <w:spacing w:val="30"/>
          <w:sz w:val="20"/>
          <w:szCs w:val="20"/>
        </w:rPr>
        <w:t xml:space="preserve">NO RUNAWAY WINNERS</w:t>
      </w:r>
    </w:p>
    <w:p>
      <w:pPr>
        <w:spacing w:after="40" w:line="264"/>
      </w:pPr>
      <w:r>
        <w:rPr>
          <w:rFonts w:ascii="Calibri" w:cs="Calibri" w:eastAsia="Calibri" w:hAnsi="Calibri"/>
          <w:color w:val="1A1A1A"/>
          <w:sz w:val="18"/>
          <w:szCs w:val="18"/>
        </w:rPr>
        <w:t xml:space="preserve">The player leading at the halfway mark goes on to win 65% of two-player games, 35% of four-player and 20% of six-player ones — against the 50%, 25% and 17% that chance alone would give. Holding a lead the whole way is rarer still: leading at both Q4 and Q8 and going on to win happens in 49% of two-player games but only 11% of six-player ones. An early lead is worth having and never close to decisive.</w:t>
      </w:r>
    </w:p>
    <w:p>
      <w:pPr>
        <w:spacing w:after="100" w:line="264"/>
      </w:pPr>
      <w:r>
        <w:rPr>
          <w:rFonts w:ascii="Calibri" w:cs="Calibri" w:eastAsia="Calibri" w:hAnsi="Calibri"/>
          <w:i/>
          <w:iCs/>
          <w:color w:val="6B6B78"/>
          <w:sz w:val="17"/>
          <w:szCs w:val="17"/>
        </w:rPr>
        <w:t xml:space="preserve">Full figures: audit_state_of_play.js and audit_economy_size.js.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Entrepreneurs - sell sheet v16</dc:title>
  <dc:creator>Entrepreneurs</dc:creator>
  <cp:lastModifiedBy>Un-named</cp:lastModifiedBy>
  <cp:revision>1</cp:revision>
  <dcterms:created xsi:type="dcterms:W3CDTF">2026-08-26T02:05:54.532Z</dcterms:created>
  <dcterms:modified xsi:type="dcterms:W3CDTF">2026-08-26T02:05:54.532Z</dcterms:modified>
</cp:coreProperties>
</file>

<file path=docProps/custom.xml><?xml version="1.0" encoding="utf-8"?>
<Properties xmlns="http://schemas.openxmlformats.org/officeDocument/2006/custom-properties" xmlns:vt="http://schemas.openxmlformats.org/officeDocument/2006/docPropsVTypes"/>
</file>