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There is no faucet other than the bank loan and the $1 recycling floor,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and twice the number of players are shuffled into the game.</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$20 and three cards against seat 1's $25 and one card - enough to matter in the first two quarters, not enough to decide a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fourth.</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It is deliberately not a way to attack someone else's building - you can only sell your own.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asymmetry between demand (+1 per company, immediately) and supply (-1 per two companies)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district that scores around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current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companies at 30%, Megacorps at 24%, cash at 22%, entry at 15% and land at 10% - nothing over a third, and building is still the biggest single thing.</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are kept switchable so the two versions can be played side by side, not because the older ones are balanced against the new. Turning all five on plays v12 almost exactly.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4 human seats.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Designer's edition - includes the notes</dc:description>
  <cp:lastModifiedBy>Un-named</cp:lastModifiedBy>
  <cp:revision>1</cp:revision>
  <dcterms:created xsi:type="dcterms:W3CDTF">2026-08-21T07:44:44.911Z</dcterms:created>
  <dcterms:modified xsi:type="dcterms:W3CDTF">2026-08-21T07:44:44.912Z</dcterms:modified>
</cp:coreProperties>
</file>

<file path=docProps/custom.xml><?xml version="1.0" encoding="utf-8"?>
<Properties xmlns="http://schemas.openxmlformats.org/officeDocument/2006/custom-properties" xmlns:vt="http://schemas.openxmlformats.org/officeDocument/2006/docPropsVTypes"/>
</file>