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V21</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 bank pays for what the demand icons take and $1 a unit for recycling, and lends $20 a disc, and that is every faucet there is -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$19 and three cards against seat 1's $25 and one card - enough to matter in the first two quarters, not enough to decide a game. One more card costs exactly $3, and seats holding the same number of cards hold the same money. That is not how the table used to read: it paid $25/1, $25/2, $20/2, $20/3, which handed the third seat the second seat's cards for $5 less AND the fourth seat's money for a card fewer - strictly the worst chair at the table, with nothing offered for it. Measured over 500 four-player games it barely mattered (the seats ran 20.8 / 28.6 / 23.8 / 26.8 per cent, and swapping the second and third seats' money did not swap their results, so the $5 was never what moved them). It is fixed because a player can SEE it, not because it was costing them games.</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and the supplier bill are charged separately, but together they still come to exactly what the Blueprint charges, so the rate decides a SPLIT rather than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You can only sell your own land - though if a rival built on a plot of yours, selling it does stop their building until the ground is bought again, so land under somebody else's company is leverage.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symmetry - a build lifts each supplier one step and drops its own industry one step -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used to be one payment split two ways: the company paid its whole OPEX, the landlord took $2 a level out of it, and only the remainder reached the pots - so on your own ground you solemnly paid yourself and took it back. The money is the same. Two bills, each going to one place, is simply what a table can do without a calculator. Megacorp headquarters have always been billed this way, so it is the rest of the board catching up with them. One thing did change: a company standing on ground nobody owns used to be charged rent that reached no landlord at all and vanished. There is no landlord, so now it pays no rent.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branch used to take free land for nothing - it looked only at plots nobody held, then wrote itself in as the owner, so the whole price was a disc while the same plot bought outright costs cash AND a disc. Retail was scaling its reach for free while every other industry paid for its ground, and it showed: Retail decided 26% of games at three players and took the largest share of the land awards once those were paid for built ground. Requiring the ground to be owned first drops that to 21.4% and brings its land award into line with Utilities and Manufacturing, while branches still open at 1.68 a game so the mechanic survives. Pricing the plot instead of restricting it was measured too and does almost nothing - plotValue is a rounding error against a Retail chain's cash flow. It is WHERE a branch may go that matters, not what it costs. See audit_setup.js --branchrent, --branchbuy and --branchpay.</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tithe to whoever builds beside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They used to count the deeds, and the deeds are not the point. Measured, 78% of all land-award EP was going to ground with nothing standing on it - the awards had become a land-banking dividend rather than a race to develop the city, and the one thing they are written to reward, a horizontal company's disc spanning several districts, could not show through that noise. Counting built ground sends 6 to 9 points of games back to Utilities, Manufacturing and Technology at every table size, and bare ground now earns $0.2 of a $40 award instead of $31.9. It is worth little on its own and a great deal alongside the branch rule and the rebalanced cards: separately those give 8.8 and 1.8 points, together 15.4. See audit_setup.js --builtland and --tails.</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awards pay out a fixed number of times a game - about seven payouts across the three year ends whatever the head count - so their weight in a winning score is that pot divided by a score that grows with the table. A flat rate therefore collapsed as seats were added: land was 17% of a winning score at two players and 3.5% at six, and at 5 EP the player holding the most ground won BELOW what an indifferent seat would take. Chasing land was a trap. Doubling the rate from four players up fixed that, and bought a cliff with it: 13% of a winning score at three players and 27% at four, which made four seats the most land-heavy game there was - the first count on the doubled pot, with the fewest rivals to split it. Scaling the award with the head count removes the cliff instead of moving it: 22% at two seats, 21% at three, 19% at four, 18% at five, 17% at six, declining smoothly the way it should. Measured against four other schedules on the same seeds, it keeps the land leader at or above the chance line at every count and SETTLES THE GAME LESS than the step did - the halfway leader's win rate falls from 64% to 46% at four seats. Paying a runner-up is worse than paying nobody: half again the EP, and the land leader wins less often. See audit_land_threshold.js.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150 games a table size on the rules as they stand - the table-scaled land award and the Megacorp tithe - across every seat: companies and upgrades 38-43%, entering an industry 13-14%, land awards 20% at two seats, 14% at three, 18% at four, 14% at five and 12% at six, forming a Megacorp 7-14%, the brand dividend 5-12%, the tithe about 1-2% each way, cash on hand 11-14%, and unpaid loans about -1%. Land no longer collapses with the head count: it was 6% at six seats before the award scaled.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OF THE WORRIES THIS NOTE USED TO RAISE HAVE BEEN FIXED BY OTHER CHANGES, and the note is kept in its corrected form rather than deleted, because these two numbers are the ones to re-check first if the economy ever moves again. It used to read that CASH ON HAND WAS ABOUT A THIRD OF A WINNING SCORE - a great deal of weight for a rule that reads as rounding up the leftovers, and a sign that a player who simply did not spend was scoring comparably to one who built. Raising the cash rate to $50 an EP halved it: re-measured over 250 games a table size it is 16% of the winner's points at two seats, 15% at three and 13% at four, five and six, and 12-15% across every seat. Building is still the largest single thing a winner does, at 31-39%. The note also read that THE LAND AWARDS SHRANK AS THE TABLE GREW, from 20% of the winner's points at two seats to 5% at six; that was true of a FLAT prize split among more claimants, which is why the prize now doubles from four players up. It no longer falls away: 19% at two seats, 13% at three, 27% at four and 18% at five and six. See audit_state_of_play.js, which prints both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three older rules are kept switchable so the two versions can be played side by side, not because they are balanced against the new. Two more were dropped in v20 after twenty-six recorded games in which nobody had switched either on: hubs on the road, which forced every hub rule in the game to answer for two shapes, and levels score heavy, which by its own description pushed land, cash and the entry bonuses into the background.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200 games at each of the three table sizes, the last two quarters still carry a third to two fifths of the winning score, so the short game does not end before anything compounds. It is also markedly gentler than the full game: no seat ever ended with nothing standing, against one in twenty-eight to one in thirteen, and a player last at halfway reached the top half between a third and nearly a half of the time. The one figure that moved the wrong way is cash, which is a fifth to a quarter of a winning score here against about a seventh in the full game - the points Megacorps used to carry went to cash and to industry debuts. Somebody taught here learns to sit on money in a game that rewards it more than the real one does.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jargon is load-bearing, not flavour. Playtesters who had never played a heavy economic game still knew roughly what R&amp;D and a supply chain were, and that knowledge did real work in teaching - they guessed what the tracks did before the tracks were explained. The one place the game breaks from real usage is worth naming: OPEX here is the printed running cost of a company, split at the table into a supplier bill and ground rent, and the game never bills wages or stock beyond that. A finance person will read the word as broader than the game means it. The trade was deliberate - splitting the two payments is what let the table stop doing arithmetic mid-quarter - but it is the term most likely to need a second sentence when you teach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Vertical and horizontal integration are the entries most worth reading twice. They are the real distinction - Carnegie buying his own coal mines against a chain opening more shops - and they are also the game's biggest open balance question. A horizontal company reaches level 4 in 3 per cent of games and a vertical one in 22, because a horizontal upgrade needs empty ground of yours beside the building and the board runs out of it. The vocabulary is honest; the numbers behind it are not yet even.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columns rather than three. The obvious shape is term / real meaning / game meaning, and it reads well on paper - but the third column is the one that matters at the table and it was the one clipped off the side of a phone. Folding the two halves into one cell keeps the pairing and survives a 390px screen.</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v21 - this edition</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1500 games a table size, with a disjoint control block. At three players the three vertical industries took 90.9% of games under v20 and now take about 69.5%; the most-dominant industry is down from 43.6% to 34.8% and the quietest up from 1.9% to 9.1%. None of the three changes is worth much alone - the land awards are worth 8.8 points of that split and the branch rule 1.8 - and together they are worth 15.4, because built ground is what makes a branch worth having and the branch rule is what stops the industry that gains most from running away with it.</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exists because a version number that nobody can decode is just a date. A publisher, a playtester holding a printout, or me in two years all need to be able to look at a cover and know which rules are in it. Everything here was reconstructed from the repository's own history rather than from memory, and where the record runs out - before v17 - it says so instead of guessing.</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Equal spread at 8 and a deliberate year tilt: Manufacturing and Utilities are early industries, Healthcare and Technology late ones, and Hospitality is the only one that is flat across both years. The spread being equal six ways is what stops the demand table carrying any of the industry balance - whatever is left over is on the cards, where it can be read. Retail and Manufacturing are the only industries printed on NO centre district, so their demand swings with the draw more than anyone else's; Healthcare, on all four centres, swings least.</w:t>
      </w: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is the whole industry character in one table. Retail turns the most goods and dies first when its market sours; Manufacturing costs the most to enter and can ride all the way to the floor. Payback and headroom are not independent - headroom is profit divided by production, and payback is setup divided by profit - so level payback with graded headroom is only possible when setup rises with production times headroom, which is what the pairing above does.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WHERE THIS LEAVES THE GAME, measured over 1500 games a table size with a disjoint block of the same rules as the control. At three players the three vertical industries took 90.9% of games before this rebalance and now take about 69.5%; the most-dominant industry is down from 43.6% to 34.8% and the quietest up from 1.9% to 9.1%, so nothing sits below one game in ten any more. The worst an industry is missing from a board is 23.9% of games, against 35.1%. Payback spread is 1.50x against 3.14x, and the supply loop runs 1.68x against 3.46x. Three changes did that and none of them is worth much alone: the land awards paying for built ground is worth 8.8 points of the industry split, the branch rule 1.8, and together they are worth 15.4 - they compound because built ground is what makes a branch worth having and the branch rule is what stops the industry that gains most from running away with it. Rounding Retail and Technology's upgrade ladders onto the deck's multiple of five, which was meant as a tidy-up, turned out to be worth a further point and a half, because the two cards needing it sat at opposite ends of the table. ONE STRUCTURE IS LEFT AND THE CARDS CANNOT REACH IT: the horizontal industries do best at two players and worst at six, 31.1% of games against 22.6%, because the land awards that pay them back are 37% of a winning score at two seats and 22% at six. It is monotonic, it is measured, and it is about half the size it used to be. See audit_setup.js --tails.</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is written out of the card data itself and checked against it cell by cell in check_rulebook.mjs, so a card cannot be retuned without the book following. It is the one part of the book nobody should ever edit by hand.</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v21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v21</dc:title>
  <dc:creator>Entrepreneurs</dc:creator>
  <dc:description>Designer's edition - includes the notes</dc:description>
  <cp:lastModifiedBy>Un-named</cp:lastModifiedBy>
  <cp:revision>1</cp:revision>
  <dcterms:created xsi:type="dcterms:W3CDTF">2026-10-15T17:30:26.388Z</dcterms:created>
  <dcterms:modified xsi:type="dcterms:W3CDTF">2026-10-15T17:30:26.389Z</dcterms:modified>
</cp:coreProperties>
</file>

<file path=docProps/custom.xml><?xml version="1.0" encoding="utf-8"?>
<Properties xmlns="http://schemas.openxmlformats.org/officeDocument/2006/custom-properties" xmlns:vt="http://schemas.openxmlformats.org/officeDocument/2006/docPropsVTypes"/>
</file>