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district that scores around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Net ground rent collected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 named separately from the rest of your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scores at the same $10 rate as the rest of your money - it is not a separate income - but the final tally names it on its own line so you can see what your land actually earned. A plot with somebody else’s building on it pays you every quarter; that is the main thing land does once the table is large.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used to disappear into the cash line, which made the score read as though land stopped mattering at a big table. It does still matter less - land plus rent is 27% of a winning score at two seats and 14% at six - but the drop is about half what the old breakdown suggested. Net rent is worth about 5% of a winning score at every table size: gross rent moves far more at six seats, $9.5 a seat a quarter against $5.3, but the winner is paying rent as well as collecting it.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it fires in about one game in eight and almost always in Quarter 11 or 12, so it shortens the average game by only a few weeks of board time -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companies at 30%, Megacorps at 24%, cash at 22%, entry at 15% and land at 10% - nothing over a third, and building is still the biggest single thing.</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Designer's edition - includes the notes</dc:description>
  <cp:lastModifiedBy>Un-named</cp:lastModifiedBy>
  <cp:revision>1</cp:revision>
  <dcterms:created xsi:type="dcterms:W3CDTF">2026-08-25T01:53:46.925Z</dcterms:created>
  <dcterms:modified xsi:type="dcterms:W3CDTF">2026-08-25T01:53:46.925Z</dcterms:modified>
</cp:coreProperties>
</file>

<file path=docProps/custom.xml><?xml version="1.0" encoding="utf-8"?>
<Properties xmlns="http://schemas.openxmlformats.org/officeDocument/2006/custom-properties" xmlns:vt="http://schemas.openxmlformats.org/officeDocument/2006/docPropsVTypes"/>
</file>