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sell whatever they choose at normal prices. If the bill still cannot be met when a company's OPEX comes due, that company enters SOLVENCY and the sale is forced at half rates: Blueprints fetch $2 / $4 / $6, plots fetch half their value, companies fetch half what a voluntary sale would pay.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(half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cost, or the full cost if upgraded (half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Tabletop edition</dc:description>
  <cp:lastModifiedBy>Un-named</cp:lastModifiedBy>
  <cp:revision>1</cp:revision>
  <dcterms:created xsi:type="dcterms:W3CDTF">2026-08-14T23:49:18.582Z</dcterms:created>
  <dcterms:modified xsi:type="dcterms:W3CDTF">2026-08-14T23:49:18.583Z</dcterms:modified>
</cp:coreProperties>
</file>

<file path=docProps/custom.xml><?xml version="1.0" encoding="utf-8"?>
<Properties xmlns="http://schemas.openxmlformats.org/officeDocument/2006/custom-properties" xmlns:vt="http://schemas.openxmlformats.org/officeDocument/2006/docPropsVTypes"/>
</file>