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At two players that is four tiles, at three it is six, and from four players up all four tiers come out and the box holds eight - so a small table is never filled with tiles nobody could ever claim.</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Net ground rent collected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 named separately from the rest of your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scores at the same $10 rate as the rest of your money - it is not a separate income - but the final tally names it on its own line so you can see what your land actually earned. A plot with somebody else’s building on it pays you every quarter; that is the main thing land does once the table is large.</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in which any player launches their SECOND Megacorp - whichever comes first. The quarter is always played out in full, so every seat has had the same number of turns.</w:t>
      </w:r>
    </w:p>
    <w:p>
      <w:pPr>
        <w:spacing w:after="120" w:line="276"/>
      </w:pPr>
      <w:r>
        <w:rPr>
          <w:rFonts w:ascii="Calibri" w:cs="Calibri" w:eastAsia="Calibri" w:hAnsi="Calibri"/>
          <w:color w:val="1A1A1A"/>
          <w:sz w:val="21"/>
          <w:szCs w:val="21"/>
        </w:rPr>
        <w:t xml:space="preserve">Most EP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Players' edition - the app</dc:description>
  <cp:lastModifiedBy>Un-named</cp:lastModifiedBy>
  <cp:revision>1</cp:revision>
  <dcterms:created xsi:type="dcterms:W3CDTF">2026-08-24T14:17:10.350Z</dcterms:created>
  <dcterms:modified xsi:type="dcterms:W3CDTF">2026-08-24T14:17:10.363Z</dcterms:modified>
</cp:coreProperties>
</file>

<file path=docProps/custom.xml><?xml version="1.0" encoding="utf-8"?>
<Properties xmlns="http://schemas.openxmlformats.org/officeDocument/2006/custom-properties" xmlns:vt="http://schemas.openxmlformats.org/officeDocument/2006/docPropsVTypes"/>
</file>