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There is no faucet other than the bank loan and the $1 recycling floor,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$20 and three cards against seat 1's $25 and one card - enough to matter in the first two quarters, not enough to decide a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fourth.</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It is deliberately not a way to attack someone else's building - you can only sell your own.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asymmetry between demand (+1 per company, immediately) and supply (-1 per two companies)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Two tiles are drawn from each tier that is in play, so the box always holds twice as many tiles as there are players - and a small table is not filled with tiles nobody could ever claim.</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district that scores around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companies at 30%, Megacorps at 24%, cash at 22%, entry at 15% and land at 10% - nothing over a third, and building is still the biggest single thing.</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are kept switchable so the two versions can be played side by side, not because the older ones are balanced against the new. Turning all five on plays v12 almost exactly.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4 human seats.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Designer's edition - includes the notes</dc:description>
  <cp:lastModifiedBy>Un-named</cp:lastModifiedBy>
  <cp:revision>1</cp:revision>
  <dcterms:created xsi:type="dcterms:W3CDTF">2026-08-23T06:50:14.139Z</dcterms:created>
  <dcterms:modified xsi:type="dcterms:W3CDTF">2026-08-23T06:50:14.139Z</dcterms:modified>
</cp:coreProperties>
</file>

<file path=docProps/custom.xml><?xml version="1.0" encoding="utf-8"?>
<Properties xmlns="http://schemas.openxmlformats.org/officeDocument/2006/custom-properties" xmlns:vt="http://schemas.openxmlformats.org/officeDocument/2006/docPropsVTypes"/>
</file>