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in which any player launches their SECOND Megacorp - whichever comes first. The quarter is always played out in full, so every seat has had the same number of turns.</w:t>
      </w:r>
    </w:p>
    <w:p>
      <w:pPr>
        <w:spacing w:after="120" w:line="276"/>
      </w:pPr>
      <w:r>
        <w:rPr>
          <w:rFonts w:ascii="Calibri" w:cs="Calibri" w:eastAsia="Calibri" w:hAnsi="Calibri"/>
          <w:color w:val="1A1A1A"/>
          <w:sz w:val="21"/>
          <w:szCs w:val="21"/>
        </w:rPr>
        <w:t xml:space="preserve">Most EP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Tabletop edition</dc:description>
  <cp:lastModifiedBy>Un-named</cp:lastModifiedBy>
  <cp:revision>1</cp:revision>
  <dcterms:created xsi:type="dcterms:W3CDTF">2026-08-24T17:52:46.874Z</dcterms:created>
  <dcterms:modified xsi:type="dcterms:W3CDTF">2026-08-24T17:52:46.874Z</dcterms:modified>
</cp:coreProperties>
</file>

<file path=docProps/custom.xml><?xml version="1.0" encoding="utf-8"?>
<Properties xmlns="http://schemas.openxmlformats.org/officeDocument/2006/custom-properties" xmlns:vt="http://schemas.openxmlformats.org/officeDocument/2006/docPropsVTypes"/>
</file>