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p>
      <w:pPr>
        <w:pStyle w:val="153"/>
        <w:bidi w:val="0"/>
        <w:rPr>
          <w:rFonts w:hint="default"/>
          <w:lang w:val="ru-RU"/>
        </w:rPr>
      </w:pPr>
      <w:r>
        <w:rPr>
          <w:lang w:val="ru-RU"/>
        </w:rPr>
        <w:t>В</w:t>
      </w:r>
      <w:r>
        <w:rPr>
          <w:rFonts w:hint="default"/>
          <w:lang w:val="ru-RU"/>
        </w:rPr>
        <w:t xml:space="preserve"> данной главе представлена таблица соответствия (</w:t>
      </w:r>
      <w:r>
        <w:rPr>
          <w:rFonts w:hint="default"/>
          <w:lang w:val="ru-RU"/>
        </w:rPr>
        <w:fldChar w:fldCharType="begin"/>
      </w:r>
      <w:r>
        <w:rPr>
          <w:rFonts w:hint="default"/>
          <w:lang w:val="ru-RU"/>
        </w:rPr>
        <w:instrText xml:space="preserve"> REF _Ref1321987734 \h </w:instrText>
      </w:r>
      <w:r>
        <w:rPr>
          <w:rFonts w:hint="default"/>
          <w:lang w:val="ru-RU"/>
        </w:rPr>
        <w:fldChar w:fldCharType="separate"/>
      </w:r>
      <w:r>
        <w:t>Таблица 6</w:t>
      </w:r>
      <w:r>
        <w:rPr>
          <w:rFonts w:hint="default"/>
          <w:lang w:val="ru-RU"/>
        </w:rPr>
        <w:fldChar w:fldCharType="end"/>
      </w:r>
      <w:r>
        <w:rPr>
          <w:rFonts w:hint="default"/>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pPr>
        <w:pStyle w:val="41"/>
        <w:rPr>
          <w:rFonts w:hint="default"/>
          <w:lang w:val="en"/>
        </w:rPr>
      </w:pPr>
      <w:bookmarkStart w:id="10" w:name="_Ref1321987734"/>
      <w:r>
        <w:t xml:space="preserve">Таблица </w:t>
      </w:r>
      <w:r>
        <w:fldChar w:fldCharType="begin"/>
      </w:r>
      <w:r>
        <w:instrText xml:space="preserve"> SEQ Таблица \* ARABIC </w:instrText>
      </w:r>
      <w:r>
        <w:fldChar w:fldCharType="separate"/>
      </w:r>
      <w:r>
        <w:t>6</w:t>
      </w:r>
      <w:r>
        <w:fldChar w:fldCharType="end"/>
      </w:r>
      <w:bookmarkEnd w:id="10"/>
      <w:r>
        <w:rPr>
          <w:lang w:val="ru-RU"/>
        </w:rPr>
        <w:t>-Таблица соответствия</w:t>
      </w:r>
      <w:r>
        <w:rPr>
          <w:rFonts w:hint="default"/>
          <w:lang w:val="en"/>
        </w:rPr>
        <w:t xml:space="preserve"> Java-Go </w:t>
      </w:r>
    </w:p>
    <w:p>
      <w:r>
        <w:br w:type="page"/>
      </w:r>
    </w:p>
    <w:p>
      <w:pPr>
        <w:pStyle w:val="41"/>
      </w:pPr>
      <w:r>
        <w:rPr>
          <w:lang w:val="ru-RU"/>
        </w:rPr>
        <w:t>Продолжение</w:t>
      </w:r>
      <w:r>
        <w:rPr>
          <w:rFonts w:hint="default"/>
          <w:lang w:val="ru-RU"/>
        </w:rPr>
        <w:t xml:space="preserve"> т</w:t>
      </w:r>
      <w:r>
        <w:rPr>
          <w:lang w:val="ru-RU"/>
        </w:rPr>
        <w:t xml:space="preserve">аблицы </w:t>
      </w:r>
      <w:r>
        <w:rPr>
          <w:rFonts w:hint="default"/>
          <w:lang w:val="ru-RU"/>
        </w:rPr>
        <w:t xml:space="preserve">6 </w:t>
      </w:r>
      <w:r>
        <w:rPr>
          <w:lang w:val="ru-RU"/>
        </w:rPr>
        <w:t xml:space="preserve">соответствия </w:t>
      </w:r>
      <w:r>
        <w:rPr>
          <w:rFonts w:hint="default"/>
          <w:lang w:val="en"/>
        </w:rPr>
        <w:t xml:space="preserve">Java-Go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bl>
    <w:p>
      <w:r>
        <w:br w:type="page"/>
      </w:r>
    </w:p>
    <w:p>
      <w:pPr>
        <w:pStyle w:val="41"/>
      </w:pPr>
      <w:r>
        <w:rPr>
          <w:lang w:val="ru-RU"/>
        </w:rPr>
        <w:t>Продолжение</w:t>
      </w:r>
      <w:r>
        <w:rPr>
          <w:rFonts w:hint="default"/>
          <w:lang w:val="ru-RU"/>
        </w:rPr>
        <w:t xml:space="preserve"> т</w:t>
      </w:r>
      <w:r>
        <w:rPr>
          <w:lang w:val="ru-RU"/>
        </w:rPr>
        <w:t>аблицы</w:t>
      </w:r>
      <w:r>
        <w:rPr>
          <w:rFonts w:hint="default"/>
          <w:lang w:val="ru-RU"/>
        </w:rPr>
        <w:t xml:space="preserve"> 6</w:t>
      </w:r>
      <w:r>
        <w:rPr>
          <w:lang w:val="ru-RU"/>
        </w:rPr>
        <w:t xml:space="preserve"> соответствия </w:t>
      </w:r>
      <w:r>
        <w:rPr>
          <w:rFonts w:hint="default"/>
          <w:lang w:val="en"/>
        </w:rPr>
        <w:t xml:space="preserve">Java-Go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bl>
    <w:p>
      <w:r>
        <w:br w:type="page"/>
      </w:r>
    </w:p>
    <w:p>
      <w:pPr>
        <w:pStyle w:val="41"/>
      </w:pPr>
      <w:r>
        <w:rPr>
          <w:lang w:val="ru-RU"/>
        </w:rPr>
        <w:t>Окончание</w:t>
      </w:r>
      <w:r>
        <w:rPr>
          <w:rFonts w:hint="default"/>
          <w:lang w:val="ru-RU"/>
        </w:rPr>
        <w:t xml:space="preserve"> т</w:t>
      </w:r>
      <w:r>
        <w:rPr>
          <w:lang w:val="ru-RU"/>
        </w:rPr>
        <w:t>аблицы</w:t>
      </w:r>
      <w:r>
        <w:rPr>
          <w:rFonts w:hint="default"/>
          <w:lang w:val="ru-RU"/>
        </w:rPr>
        <w:t xml:space="preserve"> соответствия</w:t>
      </w:r>
      <w:r>
        <w:rPr>
          <w:rFonts w:hint="default"/>
          <w:lang w:val="en"/>
        </w:rPr>
        <w:t xml:space="preserve"> Java-Go</w:t>
      </w:r>
      <w:r>
        <w:rPr>
          <w:rFonts w:hint="default"/>
          <w:lang w:val="ru-RU"/>
        </w:rP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7" w:type="dxa"/>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vAlign w:val="top"/>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gridSpan w:val="2"/>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Pr>
        <w:rPr>
          <w:lang w:val="ru-RU"/>
        </w:rPr>
      </w:pPr>
    </w:p>
    <w:p>
      <w:pPr>
        <w:pStyle w:val="85"/>
        <w:rPr>
          <w:lang w:val="ru-RU"/>
        </w:rPr>
      </w:pPr>
      <w:bookmarkStart w:id="11" w:name="_Toc268700566"/>
      <w:r>
        <w:rPr>
          <w:lang w:val="ru-RU"/>
        </w:rPr>
        <w:t>Проект лексического анализатора</w:t>
      </w:r>
      <w:bookmarkEnd w:id="11"/>
    </w:p>
    <w:p>
      <w:pPr>
        <w:pStyle w:val="2"/>
        <w:rPr>
          <w:lang w:val="ru-RU"/>
        </w:rPr>
      </w:pPr>
      <w:bookmarkStart w:id="12" w:name="_Toc1249152735"/>
      <w:r>
        <w:rPr>
          <w:lang w:val="ru-RU"/>
        </w:rPr>
        <w:t>Таблица ключевых слов</w:t>
      </w:r>
      <w:bookmarkEnd w:id="12"/>
    </w:p>
    <w:p>
      <w:pPr>
        <w:pStyle w:val="153"/>
        <w:bidi w:val="0"/>
        <w:rPr>
          <w:rFonts w:hint="default"/>
          <w:lang w:val="ru-RU"/>
        </w:rPr>
      </w:pPr>
      <w:r>
        <w:rPr>
          <w:rFonts w:hint="default"/>
          <w:lang w:val="ru-RU"/>
        </w:rPr>
        <w:t>Ниже представлена таблица ключевых слов (</w:t>
      </w:r>
      <w:r>
        <w:rPr>
          <w:rFonts w:hint="default"/>
          <w:lang w:val="ru-RU"/>
        </w:rPr>
        <w:fldChar w:fldCharType="begin"/>
      </w:r>
      <w:r>
        <w:rPr>
          <w:rFonts w:hint="default"/>
          <w:lang w:val="ru-RU"/>
        </w:rPr>
        <w:instrText xml:space="preserve"> REF _Ref146432549 \h </w:instrText>
      </w:r>
      <w:r>
        <w:rPr>
          <w:rFonts w:hint="default"/>
          <w:lang w:val="ru-RU"/>
        </w:rPr>
        <w:fldChar w:fldCharType="separate"/>
      </w:r>
      <w:r>
        <w:t>Таблица 7</w:t>
      </w:r>
      <w:r>
        <w:rPr>
          <w:rFonts w:hint="default"/>
          <w:lang w:val="ru-RU"/>
        </w:rPr>
        <w:fldChar w:fldCharType="end"/>
      </w:r>
      <w:r>
        <w:rPr>
          <w:rFonts w:hint="default"/>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bookmarkStart w:id="13" w:name="_Ref146432549"/>
      <w:r>
        <w:t xml:space="preserve">Таблица </w:t>
      </w:r>
      <w:r>
        <w:fldChar w:fldCharType="begin"/>
      </w:r>
      <w:r>
        <w:instrText xml:space="preserve"> SEQ Таблица \* ARABIC </w:instrText>
      </w:r>
      <w:r>
        <w:fldChar w:fldCharType="separate"/>
      </w:r>
      <w:r>
        <w:t>7</w:t>
      </w:r>
      <w:r>
        <w:fldChar w:fldCharType="end"/>
      </w:r>
      <w:bookmarkEnd w:id="13"/>
      <w:r>
        <w:t>-Таблица ключевых слов</w:t>
      </w:r>
    </w:p>
    <w:p>
      <w:pPr>
        <w:pStyle w:val="153"/>
        <w:bidi w:val="0"/>
        <w:rPr>
          <w:rFonts w:hint="default"/>
          <w:lang w:val="ru-RU"/>
        </w:rPr>
      </w:pPr>
      <w:r>
        <w:rPr>
          <w:lang w:val="ru-RU"/>
        </w:rPr>
        <w:t>Ниже</w:t>
      </w:r>
      <w:r>
        <w:rPr>
          <w:rFonts w:hint="default"/>
          <w:lang w:val="ru-RU"/>
        </w:rPr>
        <w:t xml:space="preserve"> представлена таблица зарезервированных имён (</w:t>
      </w:r>
      <w:r>
        <w:rPr>
          <w:rFonts w:hint="default"/>
          <w:lang w:val="ru-RU"/>
        </w:rPr>
        <w:fldChar w:fldCharType="begin"/>
      </w:r>
      <w:r>
        <w:rPr>
          <w:rFonts w:hint="default"/>
          <w:lang w:val="ru-RU"/>
        </w:rPr>
        <w:instrText xml:space="preserve"> REF _Ref2117231010 \h </w:instrText>
      </w:r>
      <w:r>
        <w:rPr>
          <w:rFonts w:hint="default"/>
          <w:lang w:val="ru-RU"/>
        </w:rPr>
        <w:fldChar w:fldCharType="separate"/>
      </w:r>
      <w:r>
        <w:t>Таблица 8</w:t>
      </w:r>
      <w:r>
        <w:rPr>
          <w:rFonts w:hint="default"/>
          <w:lang w:val="ru-RU"/>
        </w:rPr>
        <w:fldChar w:fldCharType="end"/>
      </w:r>
      <w:r>
        <w:rPr>
          <w:rFonts w:hint="default"/>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bl>
    <w:p>
      <w:pPr>
        <w:pStyle w:val="41"/>
        <w:rPr>
          <w:rFonts w:hint="default"/>
          <w:lang w:val="ru-RU"/>
        </w:rPr>
      </w:pPr>
      <w:bookmarkStart w:id="14" w:name="_Ref2117231010"/>
      <w:r>
        <w:t xml:space="preserve">Таблица </w:t>
      </w:r>
      <w:r>
        <w:fldChar w:fldCharType="begin"/>
      </w:r>
      <w:r>
        <w:instrText xml:space="preserve"> SEQ Таблица \* ARABIC </w:instrText>
      </w:r>
      <w:r>
        <w:fldChar w:fldCharType="separate"/>
      </w:r>
      <w:r>
        <w:t>8</w:t>
      </w:r>
      <w:r>
        <w:fldChar w:fldCharType="end"/>
      </w:r>
      <w:bookmarkEnd w:id="14"/>
      <w:r>
        <w:rPr>
          <w:lang w:val="ru-RU"/>
        </w:rPr>
        <w:t>-Таблица зарезервированных имён</w:t>
      </w:r>
    </w:p>
    <w:p/>
    <w:p>
      <w:pPr>
        <w:pStyle w:val="41"/>
        <w:bidi w:val="0"/>
      </w:pPr>
      <w:r>
        <w:rPr>
          <w:lang w:val="ru-RU"/>
        </w:rPr>
        <w:t>Окончание</w:t>
      </w:r>
      <w:r>
        <w:rPr>
          <w:rFonts w:hint="default"/>
          <w:lang w:val="ru-RU"/>
        </w:rPr>
        <w:t xml:space="preserve"> т</w:t>
      </w:r>
      <w:r>
        <w:t>аблиц</w:t>
      </w:r>
      <w:r>
        <w:rPr>
          <w:lang w:val="ru-RU"/>
        </w:rPr>
        <w:t>ы</w:t>
      </w:r>
      <w:r>
        <w:t xml:space="preserve"> </w:t>
      </w:r>
      <w:r>
        <w:rPr>
          <w:rFonts w:hint="default"/>
          <w:lang w:val="ru-RU"/>
        </w:rPr>
        <w:t xml:space="preserve">8 </w:t>
      </w:r>
      <w:r>
        <w:t>зарезервированных имён</w:t>
      </w:r>
      <w:r>
        <w:rPr>
          <w:rFonts w:hint="default"/>
          <w:lang w:val="ru-RU"/>
        </w:rP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vAlign w:val="top"/>
          </w:tcPr>
          <w:p>
            <w:pPr>
              <w:pStyle w:val="153"/>
              <w:widowControl w:val="0"/>
              <w:ind w:firstLine="0" w:firstLineChars="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vAlign w:val="top"/>
          </w:tcPr>
          <w:p>
            <w:pPr>
              <w:pStyle w:val="153"/>
              <w:widowControl w:val="0"/>
              <w:ind w:firstLine="0" w:firstLineChars="0"/>
              <w:jc w:val="center"/>
              <w:rPr>
                <w:rFonts w:cs="Times New Roman [TMC ]"/>
                <w:sz w:val="24"/>
                <w:szCs w:val="24"/>
                <w:lang w:val="en"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pPr>
        <w:pStyle w:val="41"/>
        <w:rPr>
          <w:rFonts w:hint="default"/>
          <w:lang w:val="ru-RU"/>
        </w:rPr>
      </w:pPr>
    </w:p>
    <w:p>
      <w:pPr>
        <w:pStyle w:val="2"/>
        <w:rPr>
          <w:lang w:val="ru-RU"/>
        </w:rPr>
      </w:pPr>
      <w:bookmarkStart w:id="15" w:name="_Toc1840618821"/>
      <w:r>
        <w:rPr>
          <w:lang w:val="ru-RU"/>
        </w:rPr>
        <w:t>Типы лексем</w:t>
      </w:r>
      <w:bookmarkEnd w:id="15"/>
    </w:p>
    <w:p>
      <w:pPr>
        <w:pStyle w:val="153"/>
        <w:bidi w:val="0"/>
        <w:rPr>
          <w:lang w:val="ru-RU"/>
        </w:rPr>
      </w:pPr>
      <w:r>
        <w:rPr>
          <w:lang w:val="ru-RU"/>
        </w:rPr>
        <w:t>Ниже</w:t>
      </w:r>
      <w:r>
        <w:rPr>
          <w:rFonts w:hint="default"/>
          <w:lang w:val="ru-RU"/>
        </w:rPr>
        <w:t xml:space="preserve"> представлена таблица типов лексем (</w:t>
      </w:r>
      <w:r>
        <w:rPr>
          <w:rFonts w:hint="default"/>
          <w:lang w:val="ru-RU"/>
        </w:rPr>
        <w:fldChar w:fldCharType="begin"/>
      </w:r>
      <w:r>
        <w:rPr>
          <w:rFonts w:hint="default"/>
          <w:lang w:val="ru-RU"/>
        </w:rPr>
        <w:instrText xml:space="preserve"> REF _Ref1205101595 \h </w:instrText>
      </w:r>
      <w:r>
        <w:rPr>
          <w:rFonts w:hint="default"/>
          <w:lang w:val="ru-RU"/>
        </w:rPr>
        <w:fldChar w:fldCharType="separate"/>
      </w:r>
      <w:r>
        <w:t>Таблица 9</w:t>
      </w:r>
      <w:r>
        <w:rPr>
          <w:rFonts w:hint="default"/>
          <w:lang w:val="ru-RU"/>
        </w:rPr>
        <w:fldChar w:fldCharType="end"/>
      </w:r>
      <w:r>
        <w:rPr>
          <w:rFonts w:hint="default"/>
          <w:lang w:val="ru-RU"/>
        </w:rPr>
        <w:t>).</w:t>
      </w:r>
    </w:p>
    <w:tbl>
      <w:tblPr>
        <w:tblStyle w:val="118"/>
        <w:tblpPr w:leftFromText="180" w:rightFromText="180" w:vertAnchor="text" w:horzAnchor="page" w:tblpX="1792" w:tblpY="476"/>
        <w:tblOverlap w:val="never"/>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bl>
    <w:p>
      <w:pPr>
        <w:pStyle w:val="41"/>
        <w:rPr>
          <w:rFonts w:hint="default"/>
          <w:lang w:val="ru-RU"/>
        </w:rPr>
      </w:pPr>
      <w:bookmarkStart w:id="16" w:name="_Ref1205101595"/>
      <w:r>
        <w:t xml:space="preserve">Таблица </w:t>
      </w:r>
      <w:r>
        <w:fldChar w:fldCharType="begin"/>
      </w:r>
      <w:r>
        <w:instrText xml:space="preserve"> SEQ Таблица \* ARABIC </w:instrText>
      </w:r>
      <w:r>
        <w:fldChar w:fldCharType="separate"/>
      </w:r>
      <w:r>
        <w:t>9</w:t>
      </w:r>
      <w:r>
        <w:fldChar w:fldCharType="end"/>
      </w:r>
      <w:bookmarkEnd w:id="16"/>
      <w:r>
        <w:rPr>
          <w:lang w:val="ru-RU"/>
        </w:rPr>
        <w:t>-Типы лексем</w:t>
      </w:r>
    </w:p>
    <w:p/>
    <w:p>
      <w:pPr>
        <w:pStyle w:val="41"/>
        <w:bidi w:val="0"/>
        <w:rPr>
          <w:rFonts w:hint="default"/>
          <w:lang w:val="ru-RU"/>
        </w:rPr>
      </w:pPr>
      <w:r>
        <w:rPr>
          <w:lang w:val="ru-RU"/>
        </w:rPr>
        <w:t>Окончание</w:t>
      </w:r>
      <w:r>
        <w:rPr>
          <w:rFonts w:hint="default"/>
          <w:lang w:val="ru-RU"/>
        </w:rPr>
        <w:t xml:space="preserve"> т</w:t>
      </w:r>
      <w:r>
        <w:t>аблиц</w:t>
      </w:r>
      <w:r>
        <w:rPr>
          <w:lang w:val="ru-RU"/>
        </w:rPr>
        <w:t>ы</w:t>
      </w:r>
      <w:r>
        <w:t xml:space="preserve"> </w:t>
      </w:r>
      <w:r>
        <w:rPr>
          <w:rFonts w:hint="default"/>
          <w:lang w:val="ru-RU"/>
        </w:rPr>
        <w:t>9 Типы лексем</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vAlign w:val="top"/>
          </w:tcPr>
          <w:p>
            <w:pPr>
              <w:widowControl w:val="0"/>
              <w:spacing w:after="0" w:line="360" w:lineRule="auto"/>
              <w:jc w:val="both"/>
              <w:rPr>
                <w:rFonts w:ascii="Times New Roman [TMC ]" w:hAnsi="Times New Roman [TMC ]" w:cs="Times New Roman [TMC ]" w:eastAsiaTheme="minorEastAsia"/>
                <w:sz w:val="24"/>
                <w:szCs w:val="24"/>
                <w:lang w:val="en" w:eastAsia="zh-CN" w:bidi="ar-SA"/>
              </w:rPr>
            </w:pPr>
            <w:r>
              <w:rPr>
                <w:rFonts w:ascii="Times New Roman [TMC ]" w:hAnsi="Times New Roman [TMC ]" w:cs="Times New Roman [TMC ]"/>
                <w:sz w:val="24"/>
                <w:szCs w:val="24"/>
                <w:lang w:val="ru-RU"/>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hint="default"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pPr>
        <w:bidi w:val="0"/>
        <w:rPr>
          <w:lang w:val="ru-RU"/>
        </w:rPr>
      </w:pPr>
      <w:bookmarkStart w:id="17" w:name="_Toc179626105"/>
    </w:p>
    <w:p>
      <w:pPr>
        <w:pStyle w:val="2"/>
        <w:rPr>
          <w:lang w:val="ru-RU"/>
        </w:rPr>
      </w:pPr>
      <w:r>
        <w:rPr>
          <w:lang w:val="ru-RU"/>
        </w:rPr>
        <w:t>Ошибки лексического анализатора</w:t>
      </w:r>
      <w:bookmarkEnd w:id="17"/>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r>
        <w:rPr>
          <w:lang w:val="ru-RU"/>
        </w:rPr>
        <w:t xml:space="preserve"> </w:t>
      </w:r>
      <w:r>
        <w:rPr>
          <w:lang w:val="ru-RU"/>
        </w:rPr>
        <w:tab/>
      </w:r>
    </w:p>
    <w:p>
      <w:pPr>
        <w:pStyle w:val="152"/>
        <w:ind w:firstLine="700"/>
      </w:pPr>
      <w:r>
        <w:rPr>
          <w:lang w:val="ru-RU"/>
        </w:rPr>
        <w:t>Недопустимый грамматикой символ</w:t>
      </w:r>
      <w:r>
        <w:rPr>
          <w:lang w:val="en"/>
        </w:rPr>
        <w:t>;</w:t>
      </w:r>
    </w:p>
    <w:p>
      <w:pPr>
        <w:pStyle w:val="2"/>
        <w:rPr>
          <w:lang w:val="ru-RU"/>
        </w:rPr>
      </w:pPr>
      <w:bookmarkStart w:id="18" w:name="_Toc144853598"/>
      <w:r>
        <w:rPr>
          <w:lang w:val="ru-RU"/>
        </w:rPr>
        <w:t>Конечный автомат лексического анализатора</w:t>
      </w:r>
      <w:bookmarkEnd w:id="18"/>
    </w:p>
    <w:p>
      <w:pPr>
        <w:jc w:val="center"/>
        <w:rPr>
          <w:lang w:val="en"/>
        </w:rPr>
      </w:pPr>
      <w:r>
        <w:rPr>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true"/>
                    </pic:cNvPicPr>
                  </pic:nvPicPr>
                  <pic:blipFill>
                    <a:blip r:embed="rId8"/>
                    <a:stretch>
                      <a:fillRect/>
                    </a:stretch>
                  </pic:blipFill>
                  <pic:spPr>
                    <a:xfrm>
                      <a:off x="0" y="0"/>
                      <a:ext cx="6135370" cy="7138035"/>
                    </a:xfrm>
                    <a:prstGeom prst="rect">
                      <a:avLst/>
                    </a:prstGeom>
                  </pic:spPr>
                </pic:pic>
              </a:graphicData>
            </a:graphic>
          </wp:inline>
        </w:drawing>
      </w:r>
    </w:p>
    <w:p>
      <w:pPr>
        <w:pStyle w:val="41"/>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t>-Конечный автомат 1 часть</w:t>
      </w:r>
    </w:p>
    <w:p>
      <w:pPr>
        <w:jc w:val="center"/>
        <w:rPr>
          <w:lang w:val="en"/>
        </w:rPr>
      </w:pPr>
      <w:r>
        <w:rPr>
          <w:lang w:val="en"/>
        </w:rPr>
        <w:drawing>
          <wp:inline distT="0" distB="0" distL="114300" distR="114300">
            <wp:extent cx="9341485" cy="4761230"/>
            <wp:effectExtent l="0" t="0" r="12065" b="1270"/>
            <wp:docPr id="10" name="Изображение 10"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2"/>
                    <pic:cNvPicPr>
                      <a:picLocks noChangeAspect="true"/>
                    </pic:cNvPicPr>
                  </pic:nvPicPr>
                  <pic:blipFill>
                    <a:blip r:embed="rId9"/>
                    <a:stretch>
                      <a:fillRect/>
                    </a:stretch>
                  </pic:blipFill>
                  <pic:spPr>
                    <a:xfrm>
                      <a:off x="0" y="0"/>
                      <a:ext cx="9341485" cy="4761230"/>
                    </a:xfrm>
                    <a:prstGeom prst="rect">
                      <a:avLst/>
                    </a:prstGeom>
                  </pic:spPr>
                </pic:pic>
              </a:graphicData>
            </a:graphic>
          </wp:inline>
        </w:drawing>
      </w:r>
    </w:p>
    <w:p>
      <w:pPr>
        <w:pStyle w:val="41"/>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t>-Конечн</w:t>
      </w:r>
      <w:bookmarkStart w:id="22" w:name="_GoBack"/>
      <w:bookmarkEnd w:id="22"/>
      <w:r>
        <w:t>ый автомат 2 часть</w:t>
      </w:r>
    </w:p>
    <w:p>
      <w:pPr>
        <w:jc w:val="center"/>
        <w:rPr>
          <w:lang w:val="en"/>
        </w:rPr>
      </w:pPr>
    </w:p>
    <w:p>
      <w:pPr>
        <w:jc w:val="center"/>
        <w:rPr>
          <w:lang w:val="en"/>
        </w:rPr>
      </w:pPr>
      <w:r>
        <w:rPr>
          <w:lang w:val="en"/>
        </w:rPr>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true"/>
                    </pic:cNvPicPr>
                  </pic:nvPicPr>
                  <pic:blipFill>
                    <a:blip r:embed="rId10"/>
                    <a:srcRect t="-55" r="4981"/>
                    <a:stretch>
                      <a:fillRect/>
                    </a:stretch>
                  </pic:blipFill>
                  <pic:spPr>
                    <a:xfrm>
                      <a:off x="0" y="0"/>
                      <a:ext cx="6140450" cy="603694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3</w:t>
      </w:r>
      <w:r>
        <w:fldChar w:fldCharType="end"/>
      </w:r>
      <w:r>
        <w:t>-Конечный автомат 3 часть</w:t>
      </w:r>
    </w:p>
    <w:p>
      <w:pPr>
        <w:jc w:val="center"/>
        <w:rPr>
          <w:lang w:val="en"/>
        </w:rPr>
      </w:pPr>
      <w:r>
        <w:rPr>
          <w:lang w:val="en"/>
        </w:rPr>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true"/>
                    </pic:cNvPicPr>
                  </pic:nvPicPr>
                  <pic:blipFill>
                    <a:blip r:embed="rId11"/>
                    <a:stretch>
                      <a:fillRect/>
                    </a:stretch>
                  </pic:blipFill>
                  <pic:spPr>
                    <a:xfrm>
                      <a:off x="0" y="0"/>
                      <a:ext cx="4762500" cy="835787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4</w:t>
      </w:r>
      <w:r>
        <w:fldChar w:fldCharType="end"/>
      </w:r>
      <w:r>
        <w:t>-Конечный автомат 4 часть</w:t>
      </w:r>
    </w:p>
    <w:p>
      <w:pPr>
        <w:jc w:val="center"/>
        <w:rPr>
          <w:lang w:val="en"/>
        </w:rPr>
      </w:pPr>
      <w:r>
        <w:rPr>
          <w:lang w:val="en"/>
        </w:rPr>
        <w:drawing>
          <wp:inline distT="0" distB="0" distL="114300" distR="114300">
            <wp:extent cx="6080760" cy="6290945"/>
            <wp:effectExtent l="0" t="0" r="15240" b="14605"/>
            <wp:docPr id="13" name="Изображение 13"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5"/>
                    <pic:cNvPicPr>
                      <a:picLocks noChangeAspect="true"/>
                    </pic:cNvPicPr>
                  </pic:nvPicPr>
                  <pic:blipFill>
                    <a:blip r:embed="rId12"/>
                    <a:stretch>
                      <a:fillRect/>
                    </a:stretch>
                  </pic:blipFill>
                  <pic:spPr>
                    <a:xfrm>
                      <a:off x="0" y="0"/>
                      <a:ext cx="6080760" cy="629094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5</w:t>
      </w:r>
      <w:r>
        <w:fldChar w:fldCharType="end"/>
      </w:r>
      <w:r>
        <w:t>-Конечный автомат часть 5</w:t>
      </w:r>
    </w:p>
    <w:p>
      <w:pPr>
        <w:rPr>
          <w:lang w:val="en"/>
        </w:rPr>
      </w:pPr>
      <w:r>
        <w:rPr>
          <w:lang w:val="en"/>
        </w:rPr>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true"/>
                    </pic:cNvPicPr>
                  </pic:nvPicPr>
                  <pic:blipFill>
                    <a:blip r:embed="rId13"/>
                    <a:stretch>
                      <a:fillRect/>
                    </a:stretch>
                  </pic:blipFill>
                  <pic:spPr>
                    <a:xfrm>
                      <a:off x="0" y="0"/>
                      <a:ext cx="6171565" cy="664845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6</w:t>
      </w:r>
      <w:r>
        <w:fldChar w:fldCharType="end"/>
      </w:r>
      <w:r>
        <w:t>-Конечный автомат 6 часть</w:t>
      </w:r>
    </w:p>
    <w:p>
      <w:pPr>
        <w:jc w:val="center"/>
        <w:rPr>
          <w:lang w:val="en"/>
        </w:rPr>
      </w:pPr>
      <w:r>
        <w:rPr>
          <w:lang w:val="en"/>
        </w:rPr>
        <w:drawing>
          <wp:inline distT="0" distB="0" distL="114300" distR="114300">
            <wp:extent cx="3331845" cy="8477885"/>
            <wp:effectExtent l="0" t="0" r="1905" b="18415"/>
            <wp:docPr id="15" name="Изображение 15"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7"/>
                    <pic:cNvPicPr>
                      <a:picLocks noChangeAspect="true"/>
                    </pic:cNvPicPr>
                  </pic:nvPicPr>
                  <pic:blipFill>
                    <a:blip r:embed="rId14"/>
                    <a:stretch>
                      <a:fillRect/>
                    </a:stretch>
                  </pic:blipFill>
                  <pic:spPr>
                    <a:xfrm>
                      <a:off x="0" y="0"/>
                      <a:ext cx="3331845" cy="847788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7</w:t>
      </w:r>
      <w:r>
        <w:fldChar w:fldCharType="end"/>
      </w:r>
      <w:r>
        <w:t>-Конечный автомат 7 часть</w:t>
      </w:r>
    </w:p>
    <w:p>
      <w:pPr>
        <w:pStyle w:val="85"/>
        <w:rPr>
          <w:lang w:val="ru-RU"/>
        </w:rPr>
      </w:pPr>
      <w:bookmarkStart w:id="19" w:name="_Toc358244852"/>
      <w:r>
        <w:rPr>
          <w:lang w:val="ru-RU"/>
        </w:rPr>
        <w:t>Проект синтаксического анализатора</w:t>
      </w:r>
      <w:bookmarkEnd w:id="19"/>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Для синтаксического анализатора был выбран алгоритм Эрли восходящего разбора.</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rPr>
          <w:lang w:val="ru-RU" w:eastAsia="ru-RU"/>
        </w:rPr>
      </w:pP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4</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6</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eastAsia="ru-RU"/>
        </w:rPr>
      </w:pPr>
      <w:r>
        <w:rPr>
          <w:lang w:eastAsia="ru-RU"/>
        </w:rPr>
        <w:t>}</w:t>
      </w:r>
    </w:p>
    <w:p>
      <w:pPr>
        <w:pStyle w:val="153"/>
        <w:ind w:firstLine="249" w:firstLineChars="89"/>
        <w:rPr>
          <w:lang w:eastAsia="ru-RU"/>
        </w:rPr>
      </w:pPr>
    </w:p>
    <w:p>
      <w:pPr>
        <w:pStyle w:val="153"/>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pPr>
        <w:pStyle w:val="153"/>
        <w:keepNext/>
        <w:ind w:left="-851" w:firstLine="0" w:firstLineChars="0"/>
      </w:pPr>
      <w:r>
        <w:rPr>
          <w:lang w:val="ru-RU" w:eastAsia="ru-RU"/>
        </w:rPr>
        <w:drawing>
          <wp:inline distT="0" distB="0" distL="0" distR="0">
            <wp:extent cx="6637020" cy="4762500"/>
            <wp:effectExtent l="0" t="0" r="0" b="0"/>
            <wp:docPr id="1" name="Рисунок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658274" cy="4778344"/>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7</w:t>
      </w:r>
      <w:r>
        <w:fldChar w:fldCharType="end"/>
      </w:r>
      <w:r>
        <w:t xml:space="preserve"> -Дерево разбора</w:t>
      </w:r>
    </w:p>
    <w:p>
      <w:pPr>
        <w:rPr>
          <w:lang w:val="ru-RU" w:eastAsia="ru-RU"/>
        </w:rPr>
      </w:pPr>
      <w:r>
        <w:rPr>
          <w:lang w:val="ru-RU" w:eastAsia="ru-RU"/>
        </w:rPr>
        <w:br w:type="page"/>
      </w:r>
    </w:p>
    <w:p>
      <w:pPr>
        <w:pStyle w:val="2"/>
        <w:numPr>
          <w:ilvl w:val="1"/>
          <w:numId w:val="0"/>
        </w:numPr>
        <w:tabs>
          <w:tab w:val="clear" w:pos="840"/>
        </w:tabs>
        <w:ind w:left="420"/>
        <w:rPr>
          <w:lang w:val="ru-RU"/>
        </w:rPr>
      </w:pPr>
      <w:bookmarkStart w:id="20" w:name="_Toc1751517351"/>
      <w:r>
        <w:rPr>
          <w:lang w:val="ru-RU"/>
        </w:rPr>
        <w:t>Заключение</w:t>
      </w:r>
      <w:bookmarkEnd w:id="20"/>
    </w:p>
    <w:p>
      <w:pPr>
        <w:pStyle w:val="152"/>
        <w:numPr>
          <w:ilvl w:val="0"/>
          <w:numId w:val="0"/>
        </w:numPr>
        <w:tabs>
          <w:tab w:val="left" w:pos="800"/>
          <w:tab w:val="clear" w:pos="360"/>
          <w:tab w:val="clear" w:pos="786"/>
        </w:tabs>
        <w:ind w:left="500" w:leftChars="25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21" w:name="_Toc266720106"/>
      <w:r>
        <w:rPr>
          <w:lang w:val="ru-RU"/>
        </w:rPr>
        <w:t>Список литературы</w:t>
      </w:r>
      <w:bookmarkEnd w:id="21"/>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Библиотека профессионала [Текст]: в 2-х т. / К.С. Хорстманн. – М.: Вильямс, 2014. – 864 с. – 1 т.</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[Текст] / А.А. Донован, Б.У. Керниган. – М.: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Ахо, А. Теория синтаксического анализа, перевода и компиляции [Текст]: в 2-х т. / А. Ахо, Д. Ульман. – М.: Мир, 1978 – 384 с. – 1 т.</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 xml:space="preserve">Грис,. 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[Текст] / Д. </w:t>
      </w:r>
      <w:r>
        <w:rPr>
          <w:rFonts w:ascii="Times New Roman [TMC ]" w:hAnsi="Times New Roman [TMC ]" w:cs="Times New Roman [TMC ]"/>
          <w:sz w:val="28"/>
          <w:szCs w:val="28"/>
          <w:shd w:val="clear" w:color="auto" w:fill="FFFFFF"/>
          <w:lang w:val="ru-RU"/>
        </w:rPr>
        <w:t>Грис.</w:t>
      </w:r>
      <w:r>
        <w:rPr>
          <w:rFonts w:ascii="Times New Roman [TMC ]" w:hAnsi="Times New Roman [TMC ]" w:cs="Times New Roman [TMC ]"/>
          <w:sz w:val="28"/>
          <w:szCs w:val="28"/>
          <w:lang w:val="ru-RU"/>
        </w:rPr>
        <w:t xml:space="preserve"> - М. : Мир, 1975 – 575 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Calibri">
    <w:altName w:val="Trebuchet MS"/>
    <w:panose1 w:val="020F0502020204030204"/>
    <w:charset w:val="CC"/>
    <w:family w:val="swiss"/>
    <w:pitch w:val="default"/>
    <w:sig w:usb0="00000000" w:usb1="00000000" w:usb2="00000009" w:usb3="00000000" w:csb0="000001FF" w:csb1="00000000"/>
  </w:font>
  <w:font w:name="Arial">
    <w:panose1 w:val="020B0604020202020204"/>
    <w:charset w:val="CC"/>
    <w:family w:val="swiss"/>
    <w:pitch w:val="default"/>
    <w:sig w:usb0="00007A87" w:usb1="80000000" w:usb2="00000008" w:usb3="00000000" w:csb0="400001FF" w:csb1="FFFF0000"/>
  </w:font>
  <w:font w:name="Courier New">
    <w:panose1 w:val="02070309020205020404"/>
    <w:charset w:val="CC"/>
    <w:family w:val="modern"/>
    <w:pitch w:val="default"/>
    <w:sig w:usb0="00007A87" w:usb1="80000000" w:usb2="00000008" w:usb3="00000000" w:csb0="400001FF" w:csb1="FFFF0000"/>
  </w:font>
  <w:font w:name="Wingdings">
    <w:altName w:val="Webdings"/>
    <w:panose1 w:val="05000000000000000000"/>
    <w:charset w:val="02"/>
    <w:family w:val="auto"/>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Webdings">
    <w:panose1 w:val="05030102010509060703"/>
    <w:charset w:val="00"/>
    <w:family w:val="auto"/>
    <w:pitch w:val="default"/>
    <w:sig w:usb0="00000000" w:usb1="00000000" w:usb2="00000000" w:usb3="00000000" w:csb0="80000000" w:csb1="0000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63582"/>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3E0F"/>
    <w:rsid w:val="00BC5C33"/>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line="260" w:lineRule="auto"/>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3536</Words>
  <Characters>20157</Characters>
  <Lines>167</Lines>
  <Paragraphs>47</Paragraphs>
  <TotalTime>0</TotalTime>
  <ScaleCrop>false</ScaleCrop>
  <LinksUpToDate>false</LinksUpToDate>
  <CharactersWithSpaces>23646</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2020-04-24T04:52:00Z</dcterms:created>
  <dc:creator>pda</dc:creator>
  <cp:lastModifiedBy>pda</cp:lastModifiedBy>
  <dcterms:modified xsi:type="dcterms:W3CDTF">2020-07-15T14:36:55Z</dcterms:modified>
  <cp:revision>101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