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•</w:t>
      </w:r>
      <w:r>
        <w:rPr>
          <w:b/>
          <w:bCs/>
          <w:lang w:val="ru-RU"/>
        </w:rPr>
        <w:t>Функциональность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</w:t>
      </w: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атрибут заявляет о том, что ПО должно обладать необходимым функционалом для быстрого и эффективного обеспечения обучению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Высокая Производительность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Высокая производительность необходима, чтобы пользователь мог комфортно пользоваться ПО без задержек и ожидания.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Надежность;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должно быть надёжным, чтобы не прерывать процесс обучения ошибками программы.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Удобство Использования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Удобство использования позволит быстрее освоить функционал программы и как следствие эффективнее пользоваться ПО для обучения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Невысокая Начальная Стоимость Системы;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создание ПО является одной из приоритетных целей заказчика.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Низкие Эксплуатационные Расходы;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эксплуатацию ПО является одной из приоритетных целей заказчика.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b/>
          <w:bCs/>
          <w:lang w:val="ru-RU"/>
        </w:rPr>
        <w:t>Оцениваемость;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понимать преимущества использования данного ПО по сравнению с аналогичными продуктами.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Контекстная диаграмма, содержащая нулевой процесс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_Ref1744330052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438525" cy="1400175"/>
            <wp:effectExtent l="0" t="0" r="9525" b="9525"/>
            <wp:docPr id="4" name="Изображение 4" descr="К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К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lang w:val="ru-RU"/>
        </w:rPr>
      </w:pPr>
      <w:bookmarkStart w:id="2" w:name="_Ref1744330052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-Контекстная диаграмма</w:t>
      </w:r>
    </w:p>
    <w:p>
      <w:pPr>
        <w:rPr>
          <w:rFonts w:hint="default"/>
          <w:lang w:val="ru-RU"/>
        </w:rPr>
      </w:pPr>
      <w:bookmarkStart w:id="3" w:name="_GoBack"/>
      <w:bookmarkEnd w:id="3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E85B"/>
    <w:multiLevelType w:val="multilevel"/>
    <w:tmpl w:val="DFD8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78820"/>
    <w:rsid w:val="17BFDE14"/>
    <w:rsid w:val="1FDBCFCF"/>
    <w:rsid w:val="219E2D0D"/>
    <w:rsid w:val="257F30F7"/>
    <w:rsid w:val="2F4FA5A9"/>
    <w:rsid w:val="2FF783FF"/>
    <w:rsid w:val="2FF9C763"/>
    <w:rsid w:val="396DF55A"/>
    <w:rsid w:val="3AED479A"/>
    <w:rsid w:val="3BF540E9"/>
    <w:rsid w:val="3D2E204C"/>
    <w:rsid w:val="3E3DC93B"/>
    <w:rsid w:val="3FCE740B"/>
    <w:rsid w:val="45A72762"/>
    <w:rsid w:val="4FBF0D0E"/>
    <w:rsid w:val="53D3F889"/>
    <w:rsid w:val="5683B32A"/>
    <w:rsid w:val="57EFA120"/>
    <w:rsid w:val="5BDB55D9"/>
    <w:rsid w:val="5BF5A5A5"/>
    <w:rsid w:val="5BFD9EA0"/>
    <w:rsid w:val="5F656515"/>
    <w:rsid w:val="5FDF9A95"/>
    <w:rsid w:val="5FF7B017"/>
    <w:rsid w:val="627FD770"/>
    <w:rsid w:val="63FF4481"/>
    <w:rsid w:val="66D56536"/>
    <w:rsid w:val="66EF9313"/>
    <w:rsid w:val="676D45AF"/>
    <w:rsid w:val="68FF6B2C"/>
    <w:rsid w:val="6AEBFC90"/>
    <w:rsid w:val="6AF79D80"/>
    <w:rsid w:val="6BE26E8A"/>
    <w:rsid w:val="6BFD51BC"/>
    <w:rsid w:val="6CFA74B6"/>
    <w:rsid w:val="6D7734B1"/>
    <w:rsid w:val="6DFE2CEF"/>
    <w:rsid w:val="6E3DD7E6"/>
    <w:rsid w:val="6EB77463"/>
    <w:rsid w:val="6FB84B84"/>
    <w:rsid w:val="6FE93690"/>
    <w:rsid w:val="6FF7743A"/>
    <w:rsid w:val="73AFE17D"/>
    <w:rsid w:val="74F569A6"/>
    <w:rsid w:val="74FFFDB1"/>
    <w:rsid w:val="772FB1CE"/>
    <w:rsid w:val="775F4F75"/>
    <w:rsid w:val="7777A492"/>
    <w:rsid w:val="77DDFB0B"/>
    <w:rsid w:val="77DFC096"/>
    <w:rsid w:val="77FF8D02"/>
    <w:rsid w:val="7B4FED7C"/>
    <w:rsid w:val="7B66AC6A"/>
    <w:rsid w:val="7BCA665E"/>
    <w:rsid w:val="7BFF2353"/>
    <w:rsid w:val="7DAD8375"/>
    <w:rsid w:val="7DBC217C"/>
    <w:rsid w:val="7DFE8B34"/>
    <w:rsid w:val="7DFF3509"/>
    <w:rsid w:val="7E4F6705"/>
    <w:rsid w:val="7E7E6122"/>
    <w:rsid w:val="7E7F2CAE"/>
    <w:rsid w:val="7EE6F711"/>
    <w:rsid w:val="7EF99B0D"/>
    <w:rsid w:val="7EFDA3CB"/>
    <w:rsid w:val="7F2FF348"/>
    <w:rsid w:val="7F469593"/>
    <w:rsid w:val="7F5FF37F"/>
    <w:rsid w:val="7F7F5DD8"/>
    <w:rsid w:val="7FB762EA"/>
    <w:rsid w:val="7FDEE62E"/>
    <w:rsid w:val="7FEB5A7B"/>
    <w:rsid w:val="7FFEF3E1"/>
    <w:rsid w:val="7FFF4F02"/>
    <w:rsid w:val="8C2FA7E7"/>
    <w:rsid w:val="8FB697B5"/>
    <w:rsid w:val="961FDF0E"/>
    <w:rsid w:val="97F9983E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BE38E5"/>
    <w:rsid w:val="BFBF715E"/>
    <w:rsid w:val="BFF715C6"/>
    <w:rsid w:val="C77DC23A"/>
    <w:rsid w:val="C7FFC1C5"/>
    <w:rsid w:val="CD9F890A"/>
    <w:rsid w:val="CF5FB17F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F1DD69F"/>
    <w:rsid w:val="DFEFA2D1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70D582D"/>
    <w:rsid w:val="F7DD9FF6"/>
    <w:rsid w:val="F7FE2727"/>
    <w:rsid w:val="F7FEF4B3"/>
    <w:rsid w:val="F9EE159D"/>
    <w:rsid w:val="FA9F58FD"/>
    <w:rsid w:val="FBAF43AB"/>
    <w:rsid w:val="FBB962EE"/>
    <w:rsid w:val="FDFF5912"/>
    <w:rsid w:val="FDFFC3FF"/>
    <w:rsid w:val="FF573C3C"/>
    <w:rsid w:val="FF6DEE7B"/>
    <w:rsid w:val="FF7179B8"/>
    <w:rsid w:val="FF8C94FF"/>
    <w:rsid w:val="FFAB0A97"/>
    <w:rsid w:val="FFDEFFBA"/>
    <w:rsid w:val="FFDF66DB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2020-05-22T22:23:50Z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